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del 2025 a las 8:00 am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evaluar y hacer seguimiento continuo a los gestos técnicos y fundamentos tácticos básicos a partir de la aplicación de pruebas propias del tenis de campo?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mejorar los fundamentos técnicos básicos y especiales que me permitan consolidar un mejor nivel de juego?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mejorar mi condición física por medio del desarrollo de las capacidades físicas específicas del tenis de campo?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mejorar el pensamiento táctico deportivo a partir de los recursos técnicos, físicos y teóricos adquiridos en los periodos anteriores?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práctica constante del tenis de campo durante el año, ha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permitido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desarrollo de habilidades y destrezas individuales, fundamentales en la resolución de situaciones cotidianas?                              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24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En el contexto del sistema de puntuación actual del tenis, analice críticamente: a) ¿Por qué se mantiene el sistema de puntuación tradicional (15, 30, 40) en lugar de un sistema numérico simple?, b) ¿Cómo influye este sistema en la dinámica psicológica del juego?, y c) Proponga argumentos a favor y en contra de una posible modificación del sistema.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Examine la relación entre las fases de movimiento del revés a dos manos y su aplicación táctica, considerando: a) Las ventajas y desventajas biomecánicas respecto al revés a una mano, b) Las situaciones tácticas más favorables para cada tipo de revés, y c) Su efectividad en diferentes superficies de juego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la integración de las capacidades físicas condicionales y coordinativas influye en el rendimiento técnico-táctico de un tenista durante un partido de 5 sets?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¿Por qué es fundamental el desarrollo de la fuerza explosiva elástica en el tenis actual y cómo se relaciona con la velocidad de la pelota?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relación existe entre el desarrollo de la flexibilidad dinámica y la prevención de lesiones en el servicio de tenis?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Evalúe el impacto de la introducción del 'let' electrónico en el circuito ATP y WTA, analizando: a) Las implicaciones en el ritmo del juego, b) Los beneficios y desventajas para jugadores y árbitros, y c) Su influencia en la evolución del reglamento moderno.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Analice la evolución de las superficies de juego en los torneos Grand Slam y su influencia en: a) El desarrollo de diferentes estilos de juego, b) Las adaptaciones técnicas necesarias para cada superficie, y c) Los cambios en el equipamiento. Ejemplifique con jugadores específicos que hayan destacado en cada superficie.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forma física. (2021, 15 enero). Las capacidades físicas básicas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https://www.youtube.com/watch?v=QmRaVVfRmqU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mRaVVfRmqU" TargetMode="Externa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Xbn9Q4xzRtbM5Vsabn2MaKKDFg==">CgMxLjAyCGguZ2pkZ3hzOAByITFpcFJDYnVUN0xMbHA5WC1iM0dDSDlIQlVJbmtiVmRnQw==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