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Presentación:El taller debe presentarse a mano completamente diligenciado con normas A.P.A. y será entregado 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17 de enero del 2025 a las 8:00 am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evaluar y hacer seguimiento continuo a los gestos técnicos y fundamentos tácticos básicos a partir de la aplicación de pruebas propias del tenis de campo?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mejorar los fundamentos técnicos básicos y especiales que me permitan consolidar un mejor nivel de juego?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mejorar mi condición física por medio del desarrollo de las capacidades físicas específicas del tenis de campo?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mejorar el pensamiento táctico deportivo a partir de los recursos técnicos, físicos y teóricos adquiridos en los periodos anteriores?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práctica constante del tenis de campo durante el año, ha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permitido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desarrollo de habilidades y destrezas individuales, fundamentales en la resolución de situaciones cotidianas?                              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En el contexto del sistema de puntuación actual del tenis, analice críticamente: a) ¿Por qué se mantiene el sistema de puntuación tradicional (15, 30, 40) en lugar de un sistema numérico simple?, b) ¿Cómo influye este sistema en la dinámica psicológica del juego?, y c) Proponga argumentos a favor y en contra de una posible modificación del sistema.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Examine la relación entre las fases de movimiento del revés a dos manos y su aplicación táctica, considerando: a) Las ventajas y desventajas biomecánicas respecto al revés a una mano, b) Las situaciones tácticas más favorables para cada tipo de revés,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y c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Su efectividad en diferentes superficies de juego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la integración de las capacidades físicas condicionales y coordinativas influye en el rendimiento técnico-táctico de un tenista durante un partido de 5 sets?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¿Por qué es fundamental el desarrollo de la fuerza explosiva elástica en el tenis actual y cómo se relaciona con la velocidad de la pelota?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relación existe entre el desarrollo de la flexibilidad dinámica y la prevención de lesiones en el servicio de tenis?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Evalúe el impacto de la introducción del 'let' electrónico en el circuito ATP y WTA, analizando: a) Las implicaciones en el ritmo del juego, b) Los beneficios y desventajas para jugadores y árbitros, y c) Su influencia en la evolución del reglamento moderno.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Analice la evolución de las superficies de juego en los torneos Grand Slam y su influencia en: a) El desarrollo de diferentes estilos de juego, b) Las adaptaciones técnicas necesarias para cada superficie, y c) Los cambios en el equipamiento. Ejemplifique con jugadores específicos que hayan destacado en cada superficie.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forma física. (2021, 15 enero). Las capacidades físicas básicas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https://www.youtube.com/watch?v=QmRaVVfRmqU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mRaVVfRmqU" TargetMode="Externa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YFfPUj845H0H7BnavAbB5ABFew==">CgMxLjAyCGguZ2pkZ3hzOAByITFyMHhLTzdmSGhFRkNJTHp2T25hODc3TF9tYjVDVjNERw==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