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Décimo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el lenguaje, como un sistema arbitrario, posibilita al hombre la expresión de sus ideas y sentimientos, ya sea a través del habla, la escritura u otros signos convencionales, pudiendo utilizar todos los sentidos para comunicar?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el análisis lingüístico se constituye como una herramienta para la comprensión global de situaciones comunicativas concretas?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los medios de comunicación masiva le permiten al ser humano reconocer una posición crítica y propositiva frente al análisis de su influencia en la sociedad?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forma el lenguaje y la comunicación permiten al ser humano reconocer la intencionalidad comunicativa en la diversidad lingüística, a través de la identificación de los elementos fundamentales en los procesos de aprendizaje?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emplear las competencias y estrategias lingüísticas y literarias, adquiridas durante el año escolar, en la profundización y producción de muestras orales, escritas, simbólicas y corporales; vinculadas con la literatura y la lengua castellana?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Elabora una historieta de seis viñetas en las que se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representen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las seis funciones del lenguaje manteniendo la estructura de un texto narrativo (Inicio, nudo, desenlace).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Realiza un ensayo reflexivo acerca del “uso de la inteligencia artificial en las tareas escolares” que contenga: título, un párrafo introductorio, dos argumentos, dos contraargumentos y una conclusión (Mínimo una página). Utiliza conectores lógicos para enlazar las ideas entre los párrafos.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Elige una de tus series o películas favoritas y realiza una reseña crítica corta en la que invites a tus compañeros de clase a ver la producción cinematográfica (Máximo una página).  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Elabora un poster publicitario acerca de un producto gracioso y creativo que contenga elementos de persuasión para el público. (Media página). Por ejemplo: “zapatos con calcetines incorporados.” 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Busca, recorta y pega un anuncio de redes sociales que sea amarillista y contenga mensajes subliminales.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Desarrolla y escribe una postura crítica donde opines acerca del contenido del anuncio anterior a través de dos párrafos argumentativos.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Realiza una lista de diez refranes o dichos populares, que incorpore figuras literarias como: la metáfora, el símil, la hipérbole, la personificación, entre otros.  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8.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Escribe diez oraciones relacionadas a “la interacción docente-estudiante en las aulas de clase” utilizando de manera coherente una o varias locuciones latinas en cada una.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Elige un fragmento de un libro que haya sido adaptado al cine y escribe un análisis que argumente ¿cómo los elementos narrativos del texto original son transformados en la película? (Máximo una página).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Elige una escena de una película que hayas visto recientemente y responde: ¿cómo la música, el diálogo y la puesta en escena contribuyen a la construcción de un tema central? ¿Se podrían comparar estos elementos con los recursos o figuras literarias que utiliza un autor para transmitir una idea principal en su obra? (Máximo una página).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ordenada, sin tachaduras o enmendaduras. Es indispensable que la letra sea legible y la ortografía impecable.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lapiceros, etc.)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presentarse en hojas tamaño carta sin rayas, siguiendo estrictamente las normas APA. Es obligatorio incluir portada, tabla de contenido, introducción y una sección de referencias bibliográficas. Se recomienda utilizar únicamente lapicero de tinta negra. Los gráficos, imágenes o dibujos deben tener color, ser claros, pertinentes y ajustarse al formato establecido.</w:t>
      </w:r>
    </w:p>
    <w:p w:rsidR="00000000" w:rsidDel="00000000" w:rsidP="00000000" w:rsidRDefault="00000000" w:rsidRPr="00000000" w14:paraId="00000036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Carpeta Drive: Yolanda Elizabeth Marín, Colegio Ferrini. (2024). Temas trabajados en clase [Carpeta Referencias Temáticas]. Recuperado de</w:t>
      </w:r>
      <w:hyperlink r:id="rId7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https://drive.google.com/drive/folders/1cdtCo7qSSH8FlMuElHuK9De1yea_6S26?usp=drive_link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 semiótica: S.N. (2012).  Análisis publicitario. Blogspot.com. Recuperado el 23 de febrero de 2024 de</w:t>
      </w:r>
      <w:hyperlink r:id="rId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https://analisispublicitariosdeimagen.blogspot.com/2012/08/la-semiotica-en-la-vida-diaria.html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4"/>
        </w:numPr>
        <w:spacing w:after="0" w:line="276" w:lineRule="auto"/>
        <w:ind w:left="1440" w:hanging="360"/>
        <w:jc w:val="both"/>
        <w:rPr>
          <w:rFonts w:ascii="Arial Narrow" w:cs="Arial Narrow" w:eastAsia="Arial Narrow" w:hAnsi="Arial Narrow"/>
          <w:color w:val="1155cc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Cedelara, D. (s/f). Publicidad subliminal, sensacionalista, demagógica y tradicional. SlideShare. Recuperado el 12 de julio de 2024, de </w:t>
      </w:r>
      <w:hyperlink r:id="rId11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https://es.slideshare.net/slideshow/publicidad-subliminal-sensacionalista-demaggica-y-tradicional-47664526/47664526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4"/>
        </w:numPr>
        <w:spacing w:after="0" w:line="276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Sachelaridi, K. S. C. (2011, December 23).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El consumo en la sociedad actual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Monografias.com. </w:t>
      </w:r>
      <w:hyperlink r:id="rId12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http://www.monografias.com/trabajos89/consumo-sociedad/consumo-sociedad.shtml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4"/>
        </w:numPr>
        <w:spacing w:after="0" w:line="276" w:lineRule="auto"/>
        <w:ind w:left="144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La publicidad y sus funciones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(sin fecha). Diapositiva Compartir. Recuperado el 9 de julio de 2024, de </w:t>
      </w:r>
      <w:hyperlink r:id="rId13">
        <w:r w:rsidDel="00000000" w:rsidR="00000000" w:rsidRPr="00000000">
          <w:rPr>
            <w:rFonts w:ascii="Arial Narrow" w:cs="Arial Narrow" w:eastAsia="Arial Narrow" w:hAnsi="Arial Narrow"/>
            <w:color w:val="1155cc"/>
            <w:highlight w:val="white"/>
            <w:u w:val="single"/>
            <w:rtl w:val="0"/>
          </w:rPr>
          <w:t xml:space="preserve">http://es.slideshare.net/chicoperez10/la-publicidad-y-sus-funciones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4"/>
        </w:numPr>
        <w:spacing w:after="0" w:line="276" w:lineRule="auto"/>
        <w:ind w:left="144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PPT. El Microcuento. III Medio. (s/f). Scribd. Recuperado el 12 de julio de 2024, de </w:t>
      </w:r>
      <w:hyperlink r:id="rId14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https://es.scribd.com/presentation/511677112/PPT-El-micro-cuento-III-medio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microrrelato. (s/f). SlideShare. Recuperado el 12 de julio de 2024, de </w:t>
      </w:r>
      <w:hyperlink r:id="rId15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https://es.slideshare.net/pcarreras/el-microrrelato-239985959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</w:t>
      </w:r>
    </w:p>
    <w:p w:rsidR="00000000" w:rsidDel="00000000" w:rsidP="00000000" w:rsidRDefault="00000000" w:rsidRPr="00000000" w14:paraId="00000045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Estuaria, L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(s.f.). El texto y sus propiedades coherencia y cohesión. SlideShare. Recuperado el 2 de septiembre de 2024 de:</w:t>
      </w:r>
      <w:hyperlink r:id="rId16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 </w:t>
        </w:r>
      </w:hyperlink>
      <w:hyperlink r:id="rId17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https://es.slideshare.net/slideshow/el-texto-y-sus-propiedades-coherencia-y-cohesin/19621285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after="200" w:afterAutospacing="0" w:line="276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Gamella-González, D. (2020). La comunicación como factor esencial de aprendizaje en las plataformas educativas virtuales. Comunicación Cultura y Política, 11, 64–83.</w:t>
      </w:r>
      <w:hyperlink r:id="rId1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 </w:t>
        </w:r>
      </w:hyperlink>
      <w:hyperlink r:id="rId1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https://doi.org/10.21158/21451494.v11.n0.2020.2699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after="0" w:afterAutospacing="0" w:before="20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 Laat, M.; Jan Simons, R. (s.f). El Aprendizaje Colectivo. Descripción Personal. Blogspot.com. Recuperado el  2 de septiembre de 2024, de</w:t>
      </w:r>
      <w:hyperlink r:id="rId20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 </w:t>
        </w:r>
      </w:hyperlink>
      <w:hyperlink r:id="rId21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http://cursodeherramientas.blogspot.com/2008/08/el-aprendizaje-colectivo.html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(s.n).(s.f). Locuciones Latinas Dipublico.org. Recuperado el 2 de septiembre de 2024, de</w:t>
      </w:r>
      <w:hyperlink r:id="rId22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 </w:t>
        </w:r>
      </w:hyperlink>
      <w:hyperlink r:id="rId23">
        <w:r w:rsidDel="00000000" w:rsidR="00000000" w:rsidRPr="00000000">
          <w:rPr>
            <w:rFonts w:ascii="Arial Narrow" w:cs="Arial Narrow" w:eastAsia="Arial Narrow" w:hAnsi="Arial Narrow"/>
            <w:color w:val="1155cc"/>
            <w:highlight w:val="white"/>
            <w:u w:val="single"/>
            <w:rtl w:val="0"/>
          </w:rPr>
          <w:t xml:space="preserve">https://www.dipublico.org/doc/latin.pdf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spacing w:after="240" w:before="0" w:beforeAutospacing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Pérez, M. (s.f.). Género lírico. SlideShare.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Recuperado el 2 de septiembre de 2024 de</w:t>
      </w:r>
      <w:hyperlink r:id="rId24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 </w:t>
        </w:r>
      </w:hyperlink>
      <w:hyperlink r:id="rId25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https://es.slideshare.net/slideshow/gnero-lrico-54802723/54802723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76" w:lineRule="auto"/>
        <w:ind w:lef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Ver los siguientes videos en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YouTube como ejemplos: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76" w:lineRule="auto"/>
        <w:ind w:lef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soyjoseosarsiug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[@soyjoseosarsiug]. (2008, June 27).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LOS 6 MEJORES ANUNCIOS DE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TELEVISION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. LOS 6 MAS GRACIOSOS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26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https://www.youtube.com/watch?v=devHqfzYUGg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Laguna, P. [@comprarperfumes]. (1 de junio de 2014).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Desodorante Chocolate Axe Dark Temptation modo de empleo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27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https://www.youtube.com/watch?v=SoPOPBrcsWY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Lucas [@Lucas811_]. (2007, July 27).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Axe Publicidad - Duelo de Pizzeros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28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https://www.youtube.com/watch?v=0OTeX6BrhNI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hora [@hora46]. (2007, 4 de mayo).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publicidad de honda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29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https://www.youtube.com/watch?v=9k6RlgR97O4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Mindundis [@MindundisMindundi]. (2016, April 24).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Carlos Sáinz y Luis Moya. Toyota Celica. Campaña Publicidad Anuncio DGT 1991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30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https://www.youtube.com/watch?v=zM_8t_7HYsM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Web, E. [@EntornoWeb1]. (2013, March 20).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El Shampoo para hombres de Dove (DOVE MEN CARE - O SHAMPOO DO HOMEM)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31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https://www.youtube.com/watch?v=CQww4HC9aqk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Web, E. [@EntornoWeb1]. (2014, May 30).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Coca Cola Friendly Twist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32">
        <w:r w:rsidDel="00000000" w:rsidR="00000000" w:rsidRPr="00000000">
          <w:rPr>
            <w:rFonts w:ascii="Arial Narrow" w:cs="Arial Narrow" w:eastAsia="Arial Narrow" w:hAnsi="Arial Narrow"/>
            <w:highlight w:val="white"/>
            <w:rtl w:val="0"/>
          </w:rPr>
          <w:t xml:space="preserve">https://www.youtube.com/watch?v=cKTczQOA19o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highlight w:val="white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De Fresi, UB [@unbesidefresi]. (2022, 4 de abril).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ANUNCIOS QUE HOY ESTARÍAN PROHIBIDOS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33">
        <w:r w:rsidDel="00000000" w:rsidR="00000000" w:rsidRPr="00000000">
          <w:rPr>
            <w:rFonts w:ascii="Arial Narrow" w:cs="Arial Narrow" w:eastAsia="Arial Narrow" w:hAnsi="Arial Narrow"/>
            <w:color w:val="1155cc"/>
            <w:highlight w:val="white"/>
            <w:u w:val="single"/>
            <w:rtl w:val="0"/>
          </w:rPr>
          <w:t xml:space="preserve">https://www.youtube.com/watch?v=</w:t>
        </w:r>
      </w:hyperlink>
      <w:hyperlink r:id="rId34">
        <w:r w:rsidDel="00000000" w:rsidR="00000000" w:rsidRPr="00000000">
          <w:rPr>
            <w:rFonts w:ascii="Arial Narrow" w:cs="Arial Narrow" w:eastAsia="Arial Narrow" w:hAnsi="Arial Narrow"/>
            <w:color w:val="1155cc"/>
            <w:highlight w:val="white"/>
            <w:u w:val="single"/>
            <w:rtl w:val="0"/>
          </w:rPr>
          <w:t xml:space="preserve">bDruiLZRGrc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76" w:lineRule="auto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35" w:type="default"/>
      <w:footerReference r:id="rId36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/>
      <w:drawing>
        <wp:inline distB="114300" distT="114300" distL="114300" distR="114300">
          <wp:extent cx="1286107" cy="57187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6107" cy="57187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cursodeherramientas.blogspot.com/2008/08/el-aprendizaje-colectivo.html" TargetMode="External"/><Relationship Id="rId22" Type="http://schemas.openxmlformats.org/officeDocument/2006/relationships/hyperlink" Target="https://www.dipublico.org/doc/latin.pdf" TargetMode="External"/><Relationship Id="rId21" Type="http://schemas.openxmlformats.org/officeDocument/2006/relationships/hyperlink" Target="http://cursodeherramientas.blogspot.com/2008/08/el-aprendizaje-colectivo.html" TargetMode="External"/><Relationship Id="rId24" Type="http://schemas.openxmlformats.org/officeDocument/2006/relationships/hyperlink" Target="https://es.slideshare.net/slideshow/gnero-lrico-54802723/54802723" TargetMode="External"/><Relationship Id="rId23" Type="http://schemas.openxmlformats.org/officeDocument/2006/relationships/hyperlink" Target="https://www.dipublico.org/doc/latin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nalisispublicitariosdeimagen.blogspot.com/2012/08/la-semiotica-en-la-vida-diaria.html" TargetMode="External"/><Relationship Id="rId26" Type="http://schemas.openxmlformats.org/officeDocument/2006/relationships/hyperlink" Target="https://www.youtube.com/watch?v=devHqfzYUGg" TargetMode="External"/><Relationship Id="rId25" Type="http://schemas.openxmlformats.org/officeDocument/2006/relationships/hyperlink" Target="https://es.slideshare.net/slideshow/gnero-lrico-54802723/54802723" TargetMode="External"/><Relationship Id="rId28" Type="http://schemas.openxmlformats.org/officeDocument/2006/relationships/hyperlink" Target="https://www.youtube.com/watch?v=0OTeX6BrhNI" TargetMode="External"/><Relationship Id="rId27" Type="http://schemas.openxmlformats.org/officeDocument/2006/relationships/hyperlink" Target="https://www.youtube.com/watch?v=SoPOPBrcsW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ww.youtube.com/watch?v=9k6RlgR97O4" TargetMode="External"/><Relationship Id="rId7" Type="http://schemas.openxmlformats.org/officeDocument/2006/relationships/hyperlink" Target="https://drive.google.com/drive/folders/1cdtCo7qSSH8FlMuElHuK9De1yea_6S26?usp=drive_link" TargetMode="External"/><Relationship Id="rId8" Type="http://schemas.openxmlformats.org/officeDocument/2006/relationships/hyperlink" Target="https://drive.google.com/drive/folders/1cdtCo7qSSH8FlMuElHuK9De1yea_6S26?usp=drive_link" TargetMode="External"/><Relationship Id="rId31" Type="http://schemas.openxmlformats.org/officeDocument/2006/relationships/hyperlink" Target="https://www.youtube.com/watch?v=CQww4HC9aqk" TargetMode="External"/><Relationship Id="rId30" Type="http://schemas.openxmlformats.org/officeDocument/2006/relationships/hyperlink" Target="https://www.youtube.com/watch?v=zM_8t_7HYsM" TargetMode="External"/><Relationship Id="rId11" Type="http://schemas.openxmlformats.org/officeDocument/2006/relationships/hyperlink" Target="https://es.slideshare.net/slideshow/publicidad-subliminal-sensacionalista-demaggica-y-tradicional-47664526/47664526" TargetMode="External"/><Relationship Id="rId33" Type="http://schemas.openxmlformats.org/officeDocument/2006/relationships/hyperlink" Target="https://www.youtube.com/watch?v=bDruiLZRGrc" TargetMode="External"/><Relationship Id="rId10" Type="http://schemas.openxmlformats.org/officeDocument/2006/relationships/hyperlink" Target="https://analisispublicitariosdeimagen.blogspot.com/2012/08/la-semiotica-en-la-vida-diaria.html" TargetMode="External"/><Relationship Id="rId32" Type="http://schemas.openxmlformats.org/officeDocument/2006/relationships/hyperlink" Target="https://www.youtube.com/watch?v=cKTczQOA19o" TargetMode="External"/><Relationship Id="rId13" Type="http://schemas.openxmlformats.org/officeDocument/2006/relationships/hyperlink" Target="http://es.slideshare.net/chicoperez10/la-publicidad-y-sus-funciones" TargetMode="External"/><Relationship Id="rId35" Type="http://schemas.openxmlformats.org/officeDocument/2006/relationships/header" Target="header1.xml"/><Relationship Id="rId12" Type="http://schemas.openxmlformats.org/officeDocument/2006/relationships/hyperlink" Target="http://www.monografias.com/trabajos89/consumo-sociedad/consumo-sociedad.shtml" TargetMode="External"/><Relationship Id="rId34" Type="http://schemas.openxmlformats.org/officeDocument/2006/relationships/hyperlink" Target="https://www.youtube.com/watch?v=bDruiLZRGrc" TargetMode="External"/><Relationship Id="rId15" Type="http://schemas.openxmlformats.org/officeDocument/2006/relationships/hyperlink" Target="https://es.slideshare.net/pcarreras/el-microrrelato-239985959" TargetMode="External"/><Relationship Id="rId14" Type="http://schemas.openxmlformats.org/officeDocument/2006/relationships/hyperlink" Target="https://es.scribd.com/presentation/511677112/PPT-El-micro-cuento-III-medio" TargetMode="External"/><Relationship Id="rId36" Type="http://schemas.openxmlformats.org/officeDocument/2006/relationships/footer" Target="footer1.xml"/><Relationship Id="rId17" Type="http://schemas.openxmlformats.org/officeDocument/2006/relationships/hyperlink" Target="https://es.slideshare.net/slideshow/el-texto-y-sus-propiedades-coherencia-y-cohesin/19621285" TargetMode="External"/><Relationship Id="rId16" Type="http://schemas.openxmlformats.org/officeDocument/2006/relationships/hyperlink" Target="https://es.slideshare.net/slideshow/el-texto-y-sus-propiedades-coherencia-y-cohesin/19621285" TargetMode="External"/><Relationship Id="rId19" Type="http://schemas.openxmlformats.org/officeDocument/2006/relationships/hyperlink" Target="https://doi.org/10.21158/21451494.v11.n0.2020.2699" TargetMode="External"/><Relationship Id="rId18" Type="http://schemas.openxmlformats.org/officeDocument/2006/relationships/hyperlink" Target="https://doi.org/10.21158/21451494.v11.n0.2020.269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rN9rVWGn22eCFMSrI8EnQNto6Q==">CgMxLjAyCWguMzBqMHpsbDgAciExQ09LemNlMUpKQzF5STJkMjFweHczVFZwalpja09DOGk=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2024-10-14T13:27:00Z</dcterms:created>
  <dc:creator>USUARIO</dc:creator>
</cp:coreProperties>
</file>