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line="360" w:lineRule="auto"/>
        <w:ind w:left="0" w:hanging="2"/>
        <w:jc w:val="cente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3b3838"/>
          <w:rtl w:val="0"/>
        </w:rPr>
        <w:t xml:space="preserve"> </w:t>
      </w:r>
      <w:r w:rsidDel="00000000" w:rsidR="00000000" w:rsidRPr="00000000">
        <w:rPr>
          <w:rFonts w:ascii="Arial Narrow" w:cs="Arial Narrow" w:eastAsia="Arial Narrow" w:hAnsi="Arial Narrow"/>
          <w:b w:val="1"/>
          <w:color w:val="000000"/>
          <w:rtl w:val="0"/>
        </w:rPr>
        <w:t xml:space="preserve">REINFORCEMENT ACTIVITIES</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4838065</wp:posOffset>
            </wp:positionH>
            <wp:positionV relativeFrom="paragraph">
              <wp:posOffset>-495299</wp:posOffset>
            </wp:positionV>
            <wp:extent cx="1285875" cy="497205"/>
            <wp:effectExtent b="0" l="0" r="0" t="0"/>
            <wp:wrapNone/>
            <wp:docPr id="65100354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85875" cy="497205"/>
                    </a:xfrm>
                    <a:prstGeom prst="rect"/>
                    <a:ln/>
                  </pic:spPr>
                </pic:pic>
              </a:graphicData>
            </a:graphic>
          </wp:anchor>
        </w:drawing>
      </w:r>
    </w:p>
    <w:p w:rsidR="00000000" w:rsidDel="00000000" w:rsidP="00000000" w:rsidRDefault="00000000" w:rsidRPr="00000000" w14:paraId="00000002">
      <w:pPr>
        <w:spacing w:line="360" w:lineRule="auto"/>
        <w:ind w:left="0" w:hanging="2"/>
        <w:jc w:val="both"/>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Subject: </w:t>
      </w:r>
      <w:r w:rsidDel="00000000" w:rsidR="00000000" w:rsidRPr="00000000">
        <w:rPr>
          <w:rFonts w:ascii="Arial Narrow" w:cs="Arial Narrow" w:eastAsia="Arial Narrow" w:hAnsi="Arial Narrow"/>
          <w:color w:val="000000"/>
          <w:rtl w:val="0"/>
        </w:rPr>
        <w:t xml:space="preserve">Natural Sciences and Environmental Education </w:t>
      </w:r>
      <w:r w:rsidDel="00000000" w:rsidR="00000000" w:rsidRPr="00000000">
        <w:rPr>
          <w:rFonts w:ascii="Arial Narrow" w:cs="Arial Narrow" w:eastAsia="Arial Narrow" w:hAnsi="Arial Narrow"/>
          <w:b w:val="1"/>
          <w:color w:val="000000"/>
          <w:rtl w:val="0"/>
        </w:rPr>
        <w:t xml:space="preserve">       Grade: </w:t>
      </w:r>
      <w:r w:rsidDel="00000000" w:rsidR="00000000" w:rsidRPr="00000000">
        <w:rPr>
          <w:rFonts w:ascii="Arial Narrow" w:cs="Arial Narrow" w:eastAsia="Arial Narrow" w:hAnsi="Arial Narrow"/>
          <w:color w:val="000000"/>
          <w:rtl w:val="0"/>
        </w:rPr>
        <w:t xml:space="preserve">7</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w:t>
      </w:r>
      <w:r w:rsidDel="00000000" w:rsidR="00000000" w:rsidRPr="00000000">
        <w:rPr>
          <w:rFonts w:ascii="Arial Narrow" w:cs="Arial Narrow" w:eastAsia="Arial Narrow" w:hAnsi="Arial Narrow"/>
          <w:b w:val="1"/>
          <w:color w:val="000000"/>
          <w:rtl w:val="0"/>
        </w:rPr>
        <w:t xml:space="preserve">               Period: </w:t>
      </w:r>
      <w:r w:rsidDel="00000000" w:rsidR="00000000" w:rsidRPr="00000000">
        <w:rPr>
          <w:rFonts w:ascii="Arial Narrow" w:cs="Arial Narrow" w:eastAsia="Arial Narrow" w:hAnsi="Arial Narrow"/>
          <w:color w:val="000000"/>
          <w:rtl w:val="0"/>
        </w:rPr>
        <w:t xml:space="preserve">III</w:t>
      </w:r>
      <w:r w:rsidDel="00000000" w:rsidR="00000000" w:rsidRPr="00000000">
        <w:rPr>
          <w:rFonts w:ascii="Arial Narrow" w:cs="Arial Narrow" w:eastAsia="Arial Narrow" w:hAnsi="Arial Narrow"/>
          <w:b w:val="1"/>
          <w:color w:val="000000"/>
          <w:rtl w:val="0"/>
        </w:rPr>
        <w:t xml:space="preserve">            Year: </w:t>
      </w:r>
      <w:r w:rsidDel="00000000" w:rsidR="00000000" w:rsidRPr="00000000">
        <w:rPr>
          <w:rFonts w:ascii="Arial Narrow" w:cs="Arial Narrow" w:eastAsia="Arial Narrow" w:hAnsi="Arial Narrow"/>
          <w:color w:val="000000"/>
          <w:rtl w:val="0"/>
        </w:rPr>
        <w:t xml:space="preserve">2024</w:t>
      </w:r>
    </w:p>
    <w:p w:rsidR="00000000" w:rsidDel="00000000" w:rsidP="00000000" w:rsidRDefault="00000000" w:rsidRPr="00000000" w14:paraId="00000003">
      <w:pPr>
        <w:spacing w:line="360" w:lineRule="auto"/>
        <w:ind w:left="0" w:hanging="2"/>
        <w:jc w:val="both"/>
        <w:rPr>
          <w:rFonts w:ascii="Arial Narrow" w:cs="Arial Narrow" w:eastAsia="Arial Narrow" w:hAnsi="Arial Narrow"/>
          <w:b w:val="1"/>
          <w:color w:val="3b3838"/>
        </w:rPr>
      </w:pPr>
      <w:r w:rsidDel="00000000" w:rsidR="00000000" w:rsidRPr="00000000">
        <w:rPr>
          <w:rFonts w:ascii="Arial Narrow" w:cs="Arial Narrow" w:eastAsia="Arial Narrow" w:hAnsi="Arial Narrow"/>
          <w:b w:val="1"/>
          <w:color w:val="3b3838"/>
          <w:rtl w:val="0"/>
        </w:rPr>
        <w:t xml:space="preserve">SUGGESTION</w:t>
      </w:r>
    </w:p>
    <w:p w:rsidR="00000000" w:rsidDel="00000000" w:rsidP="00000000" w:rsidRDefault="00000000" w:rsidRPr="00000000" w14:paraId="00000004">
      <w:pPr>
        <w:tabs>
          <w:tab w:val="left" w:leader="none" w:pos="8189"/>
          <w:tab w:val="right" w:leader="none" w:pos="9960"/>
        </w:tabs>
        <w:spacing w:line="360" w:lineRule="auto"/>
        <w:ind w:hanging="2"/>
        <w:jc w:val="both"/>
        <w:rPr>
          <w:rFonts w:ascii="Arial Narrow" w:cs="Arial Narrow" w:eastAsia="Arial Narrow" w:hAnsi="Arial Narrow"/>
          <w:color w:val="000000"/>
        </w:rPr>
      </w:pPr>
      <w:r w:rsidDel="00000000" w:rsidR="00000000" w:rsidRPr="00000000">
        <w:rPr>
          <w:rFonts w:ascii="Arial Narrow" w:cs="Arial Narrow" w:eastAsia="Arial Narrow" w:hAnsi="Arial Narrow"/>
          <w:i w:val="1"/>
          <w:rtl w:val="0"/>
        </w:rPr>
        <w:t xml:space="preserve">Each period, the teacher formulates a problematizing question or situation related to the learning goals that help the student to train him/herself and get ready to prove his/her knowledge and proficiency levels in each area. </w:t>
      </w:r>
      <w:r w:rsidDel="00000000" w:rsidR="00000000" w:rsidRPr="00000000">
        <w:rPr>
          <w:rFonts w:ascii="Arial Narrow" w:cs="Arial Narrow" w:eastAsia="Arial Narrow" w:hAnsi="Arial Narrow"/>
          <w:i w:val="1"/>
          <w:highlight w:val="white"/>
          <w:rtl w:val="0"/>
        </w:rPr>
        <w:t xml:space="preserve">This process is scheduled for the week in </w:t>
      </w:r>
      <w:r w:rsidDel="00000000" w:rsidR="00000000" w:rsidRPr="00000000">
        <w:rPr>
          <w:rFonts w:ascii="Arial Narrow" w:cs="Arial Narrow" w:eastAsia="Arial Narrow" w:hAnsi="Arial Narrow"/>
          <w:i w:val="1"/>
          <w:rtl w:val="0"/>
        </w:rPr>
        <w:t xml:space="preserve">August from 20</w:t>
      </w:r>
      <w:r w:rsidDel="00000000" w:rsidR="00000000" w:rsidRPr="00000000">
        <w:rPr>
          <w:rFonts w:ascii="Arial Narrow" w:cs="Arial Narrow" w:eastAsia="Arial Narrow" w:hAnsi="Arial Narrow"/>
          <w:i w:val="1"/>
          <w:vertAlign w:val="superscript"/>
          <w:rtl w:val="0"/>
        </w:rPr>
        <w:t xml:space="preserve">th</w:t>
      </w:r>
      <w:r w:rsidDel="00000000" w:rsidR="00000000" w:rsidRPr="00000000">
        <w:rPr>
          <w:rFonts w:ascii="Arial Narrow" w:cs="Arial Narrow" w:eastAsia="Arial Narrow" w:hAnsi="Arial Narrow"/>
          <w:i w:val="1"/>
          <w:rtl w:val="0"/>
        </w:rPr>
        <w:t xml:space="preserve"> to 29</w:t>
      </w:r>
      <w:r w:rsidDel="00000000" w:rsidR="00000000" w:rsidRPr="00000000">
        <w:rPr>
          <w:rFonts w:ascii="Arial Narrow" w:cs="Arial Narrow" w:eastAsia="Arial Narrow" w:hAnsi="Arial Narrow"/>
          <w:i w:val="1"/>
          <w:vertAlign w:val="superscript"/>
          <w:rtl w:val="0"/>
        </w:rPr>
        <w:t xml:space="preserve">Th</w:t>
      </w:r>
      <w:r w:rsidDel="00000000" w:rsidR="00000000" w:rsidRPr="00000000">
        <w:rPr>
          <w:rFonts w:ascii="Arial Narrow" w:cs="Arial Narrow" w:eastAsia="Arial Narrow" w:hAnsi="Arial Narrow"/>
          <w:i w:val="1"/>
          <w:rtl w:val="0"/>
        </w:rPr>
        <w:t xml:space="preserve">. The student should consult the bibliographic references cited by the teacher and turn in three academic products for the period written with basic standards to give account for the skills acquired.</w:t>
      </w:r>
      <w:r w:rsidDel="00000000" w:rsidR="00000000" w:rsidRPr="00000000">
        <w:rPr>
          <w:rtl w:val="0"/>
        </w:rPr>
      </w:r>
    </w:p>
    <w:p w:rsidR="00000000" w:rsidDel="00000000" w:rsidP="00000000" w:rsidRDefault="00000000" w:rsidRPr="00000000" w14:paraId="00000005">
      <w:pPr>
        <w:numPr>
          <w:ilvl w:val="0"/>
          <w:numId w:val="2"/>
        </w:numPr>
        <w:pBdr>
          <w:top w:space="0" w:sz="0" w:val="nil"/>
          <w:left w:space="0" w:sz="0" w:val="nil"/>
          <w:bottom w:space="0" w:sz="0" w:val="nil"/>
          <w:right w:space="0" w:sz="0" w:val="nil"/>
          <w:between w:space="0" w:sz="0" w:val="nil"/>
        </w:pBdr>
        <w:spacing w:after="0" w:lineRule="auto"/>
        <w:ind w:left="0" w:hanging="2"/>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Problematizing question:</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76" w:lineRule="auto"/>
        <w:ind w:left="0" w:hanging="2"/>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is the role of meiosis and mitosis in the development of the living beings?</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76" w:lineRule="auto"/>
        <w:ind w:left="0" w:hanging="2"/>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spacing w:after="0" w:line="276" w:lineRule="auto"/>
        <w:ind w:left="0" w:hanging="2"/>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Learning Goal:</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ind w:left="0" w:firstLine="0"/>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To relate the structure with the cellular function identifying the main physiological processes with the cell division with which the process is carried out.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Rule="auto"/>
        <w:ind w:left="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spacing w:after="0" w:line="480" w:lineRule="auto"/>
        <w:ind w:left="0" w:hanging="2"/>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Conceptual domains and content:</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cell: nucleus and the information.</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Chromosomes: concepts, karyotype, human chromosomes.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Meiosis and mitosis: concepts, examples, types of cells involved.</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Excretory system, function and organs.</w:t>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pacing w:line="480" w:lineRule="auto"/>
        <w:ind w:left="0" w:hanging="2"/>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Bibliographic references:</w:t>
      </w:r>
      <w:r w:rsidDel="00000000" w:rsidR="00000000" w:rsidRPr="00000000">
        <w:rPr>
          <w:rtl w:val="0"/>
        </w:rPr>
      </w:r>
    </w:p>
    <w:p w:rsidR="00000000" w:rsidDel="00000000" w:rsidP="00000000" w:rsidRDefault="00000000" w:rsidRPr="00000000" w14:paraId="00000011">
      <w:pPr>
        <w:numPr>
          <w:ilvl w:val="0"/>
          <w:numId w:val="3"/>
        </w:numPr>
        <w:spacing w:after="0" w:line="480" w:lineRule="auto"/>
        <w:ind w:left="359" w:hanging="359"/>
        <w:rPr>
          <w:rFonts w:ascii="Arial Narrow" w:cs="Arial Narrow" w:eastAsia="Arial Narrow" w:hAnsi="Arial Narrow"/>
          <w:sz w:val="24"/>
          <w:szCs w:val="24"/>
        </w:rPr>
      </w:pPr>
      <w:r w:rsidDel="00000000" w:rsidR="00000000" w:rsidRPr="00000000">
        <w:rPr>
          <w:rFonts w:ascii="Arial Narrow" w:cs="Arial Narrow" w:eastAsia="Arial Narrow" w:hAnsi="Arial Narrow"/>
          <w:sz w:val="24"/>
          <w:szCs w:val="24"/>
          <w:rtl w:val="0"/>
        </w:rPr>
        <w:t xml:space="preserve">BYJUS. (2021). Human Excretory system. https://byjus.com/biology/human-excretory-system/ </w:t>
      </w:r>
    </w:p>
    <w:p w:rsidR="00000000" w:rsidDel="00000000" w:rsidP="00000000" w:rsidRDefault="00000000" w:rsidRPr="00000000" w14:paraId="00000012">
      <w:pPr>
        <w:numPr>
          <w:ilvl w:val="0"/>
          <w:numId w:val="3"/>
        </w:numPr>
        <w:spacing w:after="0" w:line="480" w:lineRule="auto"/>
        <w:ind w:left="359" w:hanging="359"/>
        <w:rPr>
          <w:rFonts w:ascii="Arial Narrow" w:cs="Arial Narrow" w:eastAsia="Arial Narrow" w:hAnsi="Arial Narrow"/>
          <w:sz w:val="24"/>
          <w:szCs w:val="24"/>
        </w:rPr>
      </w:pPr>
      <w:r w:rsidDel="00000000" w:rsidR="00000000" w:rsidRPr="00000000">
        <w:rPr>
          <w:rFonts w:ascii="Arial Narrow" w:cs="Arial Narrow" w:eastAsia="Arial Narrow" w:hAnsi="Arial Narrow"/>
          <w:sz w:val="24"/>
          <w:szCs w:val="24"/>
          <w:rtl w:val="0"/>
        </w:rPr>
        <w:t xml:space="preserve">Khan Academy. (2019a). Meiosis | Cell division | Biology (article). https://www.khanacademy.org/science/ap-biology/heredity/meiosis-and-genetic-diversity/a/phases-of-meiosis </w:t>
      </w:r>
    </w:p>
    <w:p w:rsidR="00000000" w:rsidDel="00000000" w:rsidP="00000000" w:rsidRDefault="00000000" w:rsidRPr="00000000" w14:paraId="00000013">
      <w:pPr>
        <w:numPr>
          <w:ilvl w:val="0"/>
          <w:numId w:val="3"/>
        </w:numPr>
        <w:spacing w:after="0" w:line="480" w:lineRule="auto"/>
        <w:ind w:left="359" w:hanging="359"/>
        <w:rPr>
          <w:rFonts w:ascii="Arial Narrow" w:cs="Arial Narrow" w:eastAsia="Arial Narrow" w:hAnsi="Arial Narrow"/>
          <w:sz w:val="24"/>
          <w:szCs w:val="24"/>
        </w:rPr>
      </w:pPr>
      <w:r w:rsidDel="00000000" w:rsidR="00000000" w:rsidRPr="00000000">
        <w:rPr>
          <w:rFonts w:ascii="Arial Narrow" w:cs="Arial Narrow" w:eastAsia="Arial Narrow" w:hAnsi="Arial Narrow"/>
          <w:sz w:val="24"/>
          <w:szCs w:val="24"/>
          <w:rtl w:val="0"/>
        </w:rPr>
        <w:t xml:space="preserve">Khan Academy. (2019b). Mitosis. https://www.khanacademy.org/science/biology/cellular-molecular-biology/mitosis/v/mitosis </w:t>
      </w:r>
    </w:p>
    <w:p w:rsidR="00000000" w:rsidDel="00000000" w:rsidP="00000000" w:rsidRDefault="00000000" w:rsidRPr="00000000" w14:paraId="00000014">
      <w:pPr>
        <w:numPr>
          <w:ilvl w:val="0"/>
          <w:numId w:val="3"/>
        </w:numPr>
        <w:spacing w:after="0" w:line="480" w:lineRule="auto"/>
        <w:ind w:left="359" w:hanging="359"/>
        <w:rPr>
          <w:rFonts w:ascii="Arial Narrow" w:cs="Arial Narrow" w:eastAsia="Arial Narrow" w:hAnsi="Arial Narrow"/>
          <w:sz w:val="24"/>
          <w:szCs w:val="24"/>
        </w:rPr>
      </w:pPr>
      <w:r w:rsidDel="00000000" w:rsidR="00000000" w:rsidRPr="00000000">
        <w:rPr>
          <w:rFonts w:ascii="Arial Narrow" w:cs="Arial Narrow" w:eastAsia="Arial Narrow" w:hAnsi="Arial Narrow"/>
          <w:rtl w:val="0"/>
        </w:rPr>
        <w:t xml:space="preserve">Ospina, J. (2022). </w:t>
      </w:r>
      <w:r w:rsidDel="00000000" w:rsidR="00000000" w:rsidRPr="00000000">
        <w:rPr>
          <w:rFonts w:ascii="Arial Narrow" w:cs="Arial Narrow" w:eastAsia="Arial Narrow" w:hAnsi="Arial Narrow"/>
          <w:i w:val="1"/>
          <w:rtl w:val="0"/>
        </w:rPr>
        <w:t xml:space="preserve">Guía de Ciencias Naturales 7°</w:t>
      </w:r>
      <w:r w:rsidDel="00000000" w:rsidR="00000000" w:rsidRPr="00000000">
        <w:rPr>
          <w:rFonts w:ascii="Arial Narrow" w:cs="Arial Narrow" w:eastAsia="Arial Narrow" w:hAnsi="Arial Narrow"/>
          <w:rtl w:val="0"/>
        </w:rPr>
        <w:t xml:space="preserve">. Unit 3. </w:t>
      </w: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bullet"/>
      <w:lvlText w:val="●"/>
      <w:lvlJc w:val="left"/>
      <w:pPr>
        <w:ind w:left="359" w:hanging="359"/>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US"/>
      </w:rPr>
    </w:rPrDefault>
    <w:pPrDefault>
      <w:pPr>
        <w:spacing w:after="160" w:line="259"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ind w:left="-1" w:leftChars="-1" w:hanging="1" w:hangingChars="1"/>
      <w:textDirection w:val="btLr"/>
      <w:textAlignment w:val="top"/>
      <w:outlineLvl w:val="0"/>
    </w:pPr>
    <w:rPr>
      <w:position w:val="-1"/>
      <w:lang w:eastAsia="en-US"/>
    </w:rPr>
  </w:style>
  <w:style w:type="paragraph" w:styleId="Ttulo1">
    <w:name w:val="heading 1"/>
    <w:basedOn w:val="Normal"/>
    <w:next w:val="Normal"/>
    <w:uiPriority w:val="9"/>
    <w:qFormat w:val="1"/>
    <w:pPr>
      <w:keepNext w:val="1"/>
      <w:keepLines w:val="1"/>
      <w:spacing w:after="120" w:before="48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Prrafodelista">
    <w:name w:val="List Paragraph"/>
    <w:basedOn w:val="Normal"/>
    <w:pPr>
      <w:ind w:left="720"/>
      <w:contextualSpacing w:val="1"/>
    </w:pPr>
  </w:style>
  <w:style w:type="character" w:styleId="Hipervnculo">
    <w:name w:val="Hyperlink"/>
    <w:qFormat w:val="1"/>
    <w:rPr>
      <w:color w:val="0000ff"/>
      <w:w w:val="100"/>
      <w:position w:val="-1"/>
      <w:u w:val="single"/>
      <w:effect w:val="none"/>
      <w:vertAlign w:val="baseline"/>
      <w:cs w:val="0"/>
      <w:em w:val="none"/>
    </w:rPr>
  </w:style>
  <w:style w:type="paragraph" w:styleId="NormalWeb">
    <w:name w:val="Normal (Web)"/>
    <w:basedOn w:val="Normal"/>
    <w:uiPriority w:val="99"/>
    <w:qFormat w:val="1"/>
    <w:pPr>
      <w:spacing w:after="100" w:afterAutospacing="1" w:before="100" w:beforeAutospacing="1" w:line="240" w:lineRule="auto"/>
    </w:pPr>
    <w:rPr>
      <w:rFonts w:ascii="Times New Roman" w:eastAsia="Times New Roman" w:hAnsi="Times New Roman"/>
      <w:sz w:val="24"/>
      <w:szCs w:val="24"/>
      <w:lang w:eastAsia="es-PA" w:val="es-PA"/>
    </w:rPr>
  </w:style>
  <w:style w:type="character" w:styleId="Mencinsinresolver1" w:customStyle="1">
    <w:name w:val="Mención sin resolver1"/>
    <w:qFormat w:val="1"/>
    <w:rPr>
      <w:color w:val="605e5c"/>
      <w:w w:val="100"/>
      <w:position w:val="-1"/>
      <w:effect w:val="none"/>
      <w:shd w:color="auto" w:fill="e1dfdd" w:val="clear"/>
      <w:vertAlign w:val="baseline"/>
      <w:cs w:val="0"/>
      <w:em w:val="none"/>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izWWtwUCRyAiACWZkg09OWoE7A==">CgMxLjA4AHIhMUxPYWowUVlyemtKWFB4LXRmbERITXY3aDRybmhzQXZj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2023-06-29T16:14:00Z</dcterms:created>
  <dc:creator>Jefe de Area</dc:creator>
</cp:coreProperties>
</file>