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line="360" w:lineRule="auto"/>
        <w:ind w:left="0" w:hanging="2"/>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3b3838"/>
          <w:rtl w:val="0"/>
        </w:rPr>
        <w:t xml:space="preserve"> </w:t>
      </w:r>
      <w:r w:rsidDel="00000000" w:rsidR="00000000" w:rsidRPr="00000000">
        <w:rPr>
          <w:rFonts w:ascii="Arial Narrow" w:cs="Arial Narrow" w:eastAsia="Arial Narrow" w:hAnsi="Arial Narrow"/>
          <w:b w:val="1"/>
          <w:color w:val="000000"/>
          <w:rtl w:val="0"/>
        </w:rPr>
        <w:t xml:space="preserve">REINFORCEMENT ACTIVITIES</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4787900</wp:posOffset>
            </wp:positionH>
            <wp:positionV relativeFrom="paragraph">
              <wp:posOffset>-497204</wp:posOffset>
            </wp:positionV>
            <wp:extent cx="1285875" cy="497205"/>
            <wp:effectExtent b="0" l="0" r="0" t="0"/>
            <wp:wrapNone/>
            <wp:docPr id="65100354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85875" cy="497205"/>
                    </a:xfrm>
                    <a:prstGeom prst="rect"/>
                    <a:ln/>
                  </pic:spPr>
                </pic:pic>
              </a:graphicData>
            </a:graphic>
          </wp:anchor>
        </w:drawing>
      </w:r>
    </w:p>
    <w:p w:rsidR="00000000" w:rsidDel="00000000" w:rsidP="00000000" w:rsidRDefault="00000000" w:rsidRPr="00000000" w14:paraId="00000002">
      <w:pPr>
        <w:spacing w:line="360" w:lineRule="auto"/>
        <w:ind w:left="0" w:hanging="2"/>
        <w:jc w:val="both"/>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Subject: </w:t>
      </w:r>
      <w:r w:rsidDel="00000000" w:rsidR="00000000" w:rsidRPr="00000000">
        <w:rPr>
          <w:rFonts w:ascii="Arial Narrow" w:cs="Arial Narrow" w:eastAsia="Arial Narrow" w:hAnsi="Arial Narrow"/>
          <w:color w:val="000000"/>
          <w:rtl w:val="0"/>
        </w:rPr>
        <w:t xml:space="preserve">Natural Sciences and Environmental Education </w:t>
      </w:r>
      <w:r w:rsidDel="00000000" w:rsidR="00000000" w:rsidRPr="00000000">
        <w:rPr>
          <w:rFonts w:ascii="Arial Narrow" w:cs="Arial Narrow" w:eastAsia="Arial Narrow" w:hAnsi="Arial Narrow"/>
          <w:b w:val="1"/>
          <w:color w:val="000000"/>
          <w:rtl w:val="0"/>
        </w:rPr>
        <w:t xml:space="preserve">       Grade: </w:t>
      </w:r>
      <w:r w:rsidDel="00000000" w:rsidR="00000000" w:rsidRPr="00000000">
        <w:rPr>
          <w:rFonts w:ascii="Arial Narrow" w:cs="Arial Narrow" w:eastAsia="Arial Narrow" w:hAnsi="Arial Narrow"/>
          <w:color w:val="000000"/>
          <w:rtl w:val="0"/>
        </w:rPr>
        <w:t xml:space="preserve">8</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b w:val="1"/>
          <w:color w:val="000000"/>
          <w:rtl w:val="0"/>
        </w:rPr>
        <w:t xml:space="preserve">               Period: </w:t>
      </w:r>
      <w:r w:rsidDel="00000000" w:rsidR="00000000" w:rsidRPr="00000000">
        <w:rPr>
          <w:rFonts w:ascii="Arial Narrow" w:cs="Arial Narrow" w:eastAsia="Arial Narrow" w:hAnsi="Arial Narrow"/>
          <w:color w:val="000000"/>
          <w:rtl w:val="0"/>
        </w:rPr>
        <w:t xml:space="preserve">III</w:t>
      </w:r>
      <w:r w:rsidDel="00000000" w:rsidR="00000000" w:rsidRPr="00000000">
        <w:rPr>
          <w:rFonts w:ascii="Arial Narrow" w:cs="Arial Narrow" w:eastAsia="Arial Narrow" w:hAnsi="Arial Narrow"/>
          <w:b w:val="1"/>
          <w:color w:val="000000"/>
          <w:rtl w:val="0"/>
        </w:rPr>
        <w:t xml:space="preserve">            Year: </w:t>
      </w:r>
      <w:r w:rsidDel="00000000" w:rsidR="00000000" w:rsidRPr="00000000">
        <w:rPr>
          <w:rFonts w:ascii="Arial Narrow" w:cs="Arial Narrow" w:eastAsia="Arial Narrow" w:hAnsi="Arial Narrow"/>
          <w:color w:val="000000"/>
          <w:rtl w:val="0"/>
        </w:rPr>
        <w:t xml:space="preserve">2024</w:t>
      </w:r>
    </w:p>
    <w:p w:rsidR="00000000" w:rsidDel="00000000" w:rsidP="00000000" w:rsidRDefault="00000000" w:rsidRPr="00000000" w14:paraId="00000003">
      <w:pPr>
        <w:spacing w:line="360" w:lineRule="auto"/>
        <w:ind w:left="0" w:hanging="2"/>
        <w:jc w:val="both"/>
        <w:rPr>
          <w:rFonts w:ascii="Arial Narrow" w:cs="Arial Narrow" w:eastAsia="Arial Narrow" w:hAnsi="Arial Narrow"/>
          <w:b w:val="1"/>
          <w:color w:val="3b3838"/>
        </w:rPr>
      </w:pPr>
      <w:r w:rsidDel="00000000" w:rsidR="00000000" w:rsidRPr="00000000">
        <w:rPr>
          <w:rFonts w:ascii="Arial Narrow" w:cs="Arial Narrow" w:eastAsia="Arial Narrow" w:hAnsi="Arial Narrow"/>
          <w:b w:val="1"/>
          <w:color w:val="3b3838"/>
          <w:rtl w:val="0"/>
        </w:rPr>
        <w:t xml:space="preserve">SUGGESTION</w:t>
      </w:r>
    </w:p>
    <w:p w:rsidR="00000000" w:rsidDel="00000000" w:rsidP="00000000" w:rsidRDefault="00000000" w:rsidRPr="00000000" w14:paraId="00000004">
      <w:pPr>
        <w:spacing w:line="360" w:lineRule="auto"/>
        <w:ind w:left="0" w:firstLine="0"/>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rtl w:val="0"/>
        </w:rPr>
        <w:t xml:space="preserve">Each period, the teacher formulates a problematizing question or situation related to the learning goals that help the student to train him/herself and get ready to prove his/her knowledge and proficiency levels in each area. </w:t>
      </w:r>
      <w:r w:rsidDel="00000000" w:rsidR="00000000" w:rsidRPr="00000000">
        <w:rPr>
          <w:rFonts w:ascii="Arial Narrow" w:cs="Arial Narrow" w:eastAsia="Arial Narrow" w:hAnsi="Arial Narrow"/>
          <w:i w:val="1"/>
          <w:highlight w:val="white"/>
          <w:rtl w:val="0"/>
        </w:rPr>
        <w:t xml:space="preserve">This process is scheduled for the week in </w:t>
      </w:r>
      <w:r w:rsidDel="00000000" w:rsidR="00000000" w:rsidRPr="00000000">
        <w:rPr>
          <w:rFonts w:ascii="Arial Narrow" w:cs="Arial Narrow" w:eastAsia="Arial Narrow" w:hAnsi="Arial Narrow"/>
          <w:i w:val="1"/>
          <w:rtl w:val="0"/>
        </w:rPr>
        <w:t xml:space="preserve">August from 20</w:t>
      </w:r>
      <w:r w:rsidDel="00000000" w:rsidR="00000000" w:rsidRPr="00000000">
        <w:rPr>
          <w:rFonts w:ascii="Arial Narrow" w:cs="Arial Narrow" w:eastAsia="Arial Narrow" w:hAnsi="Arial Narrow"/>
          <w:i w:val="1"/>
          <w:vertAlign w:val="superscript"/>
          <w:rtl w:val="0"/>
        </w:rPr>
        <w:t xml:space="preserve">th</w:t>
      </w:r>
      <w:r w:rsidDel="00000000" w:rsidR="00000000" w:rsidRPr="00000000">
        <w:rPr>
          <w:rFonts w:ascii="Arial Narrow" w:cs="Arial Narrow" w:eastAsia="Arial Narrow" w:hAnsi="Arial Narrow"/>
          <w:i w:val="1"/>
          <w:rtl w:val="0"/>
        </w:rPr>
        <w:t xml:space="preserve"> to 29</w:t>
      </w:r>
      <w:r w:rsidDel="00000000" w:rsidR="00000000" w:rsidRPr="00000000">
        <w:rPr>
          <w:rFonts w:ascii="Arial Narrow" w:cs="Arial Narrow" w:eastAsia="Arial Narrow" w:hAnsi="Arial Narrow"/>
          <w:i w:val="1"/>
          <w:vertAlign w:val="superscript"/>
          <w:rtl w:val="0"/>
        </w:rPr>
        <w:t xml:space="preserve">Th</w:t>
      </w:r>
      <w:r w:rsidDel="00000000" w:rsidR="00000000" w:rsidRPr="00000000">
        <w:rPr>
          <w:rFonts w:ascii="Arial Narrow" w:cs="Arial Narrow" w:eastAsia="Arial Narrow" w:hAnsi="Arial Narrow"/>
          <w:i w:val="1"/>
          <w:rtl w:val="0"/>
        </w:rPr>
        <w:t xml:space="preserve">. The student should consult the bibliographic references cited by the teacher and turn in three academic products for the period written with basic standards to give account for the skills acquired</w:t>
      </w:r>
      <w:r w:rsidDel="00000000" w:rsidR="00000000" w:rsidRPr="00000000">
        <w:rPr>
          <w:rFonts w:ascii="Arial Narrow" w:cs="Arial Narrow" w:eastAsia="Arial Narrow" w:hAnsi="Arial Narrow"/>
          <w:i w:val="1"/>
          <w:rtl w:val="0"/>
        </w:rPr>
        <w:t xml:space="preserve">.</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Problematizing question:</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76"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the function of the brain and what impact does it have on the different functions of the body?</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76" w:lineRule="auto"/>
        <w:ind w:left="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Learning Goals: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76" w:lineRule="auto"/>
        <w:ind w:left="0" w:firstLine="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Compare and interrelate the nervous and endocrine systems in your own body and analyze their importance.</w:t>
      </w:r>
      <w:r w:rsidDel="00000000" w:rsidR="00000000" w:rsidRPr="00000000">
        <w:rPr>
          <w:rFonts w:ascii="Arial Narrow" w:cs="Arial Narrow" w:eastAsia="Arial Narrow" w:hAnsi="Arial Narrow"/>
          <w:b w:val="1"/>
          <w:color w:val="000000"/>
          <w:rtl w:val="0"/>
        </w:rPr>
        <w:tab/>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3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Conceptual domains and content: </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Reproduction, types of reproduction and differences.</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Puberty, organs and hormones involved.</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Nervous system: functions and organs involved.</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Immune system: functions and organs involved.</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3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Bibliographic references:</w:t>
      </w:r>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pacing w:after="0" w:line="480" w:lineRule="auto"/>
        <w:ind w:left="780" w:hanging="36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Johns Hopkins Medicine. (2022). </w:t>
      </w:r>
      <w:r w:rsidDel="00000000" w:rsidR="00000000" w:rsidRPr="00000000">
        <w:rPr>
          <w:rFonts w:ascii="Arial Narrow" w:cs="Arial Narrow" w:eastAsia="Arial Narrow" w:hAnsi="Arial Narrow"/>
          <w:i w:val="1"/>
          <w:color w:val="000000"/>
          <w:rtl w:val="0"/>
        </w:rPr>
        <w:t xml:space="preserve">The Immune System</w:t>
      </w:r>
      <w:r w:rsidDel="00000000" w:rsidR="00000000" w:rsidRPr="00000000">
        <w:rPr>
          <w:rFonts w:ascii="Arial Narrow" w:cs="Arial Narrow" w:eastAsia="Arial Narrow" w:hAnsi="Arial Narrow"/>
          <w:color w:val="000000"/>
          <w:rtl w:val="0"/>
        </w:rPr>
        <w:t xml:space="preserve">. </w:t>
      </w:r>
      <w:hyperlink r:id="rId8">
        <w:r w:rsidDel="00000000" w:rsidR="00000000" w:rsidRPr="00000000">
          <w:rPr>
            <w:rFonts w:ascii="Arial Narrow" w:cs="Arial Narrow" w:eastAsia="Arial Narrow" w:hAnsi="Arial Narrow"/>
            <w:color w:val="1155cc"/>
            <w:u w:val="single"/>
            <w:rtl w:val="0"/>
          </w:rPr>
          <w:t xml:space="preserve">https://www.hopkinsmedicine.org/health/conditions-and-diseases/the-immune-system#:%7E:text=What%20is%20the%20immune%20system,and%20proteins%20that%20work%20together</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pacing w:after="0" w:line="480" w:lineRule="auto"/>
        <w:ind w:left="780" w:hanging="36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Johns Hopkins University. (2019). </w:t>
      </w:r>
      <w:r w:rsidDel="00000000" w:rsidR="00000000" w:rsidRPr="00000000">
        <w:rPr>
          <w:rFonts w:ascii="Arial Narrow" w:cs="Arial Narrow" w:eastAsia="Arial Narrow" w:hAnsi="Arial Narrow"/>
          <w:i w:val="1"/>
          <w:color w:val="000000"/>
          <w:rtl w:val="0"/>
        </w:rPr>
        <w:t xml:space="preserve">Anatomy of the Endocrine System</w:t>
      </w:r>
      <w:r w:rsidDel="00000000" w:rsidR="00000000" w:rsidRPr="00000000">
        <w:rPr>
          <w:rFonts w:ascii="Arial Narrow" w:cs="Arial Narrow" w:eastAsia="Arial Narrow" w:hAnsi="Arial Narrow"/>
          <w:color w:val="000000"/>
          <w:rtl w:val="0"/>
        </w:rPr>
        <w:t xml:space="preserve">. Johns Hopkins Medicine. </w:t>
      </w:r>
      <w:hyperlink r:id="rId9">
        <w:r w:rsidDel="00000000" w:rsidR="00000000" w:rsidRPr="00000000">
          <w:rPr>
            <w:rFonts w:ascii="Arial Narrow" w:cs="Arial Narrow" w:eastAsia="Arial Narrow" w:hAnsi="Arial Narrow"/>
            <w:color w:val="1155cc"/>
            <w:u w:val="single"/>
            <w:rtl w:val="0"/>
          </w:rPr>
          <w:t xml:space="preserve">https://www.hopkinsmedicine.org/health/wellness-and-prevention/anatomy-of-the-endocrine-system</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012">
      <w:pPr>
        <w:numPr>
          <w:ilvl w:val="0"/>
          <w:numId w:val="2"/>
        </w:numPr>
        <w:spacing w:after="0" w:line="480" w:lineRule="auto"/>
        <w:ind w:left="780" w:hanging="360"/>
        <w:rPr>
          <w:rFonts w:ascii="Arial Narrow" w:cs="Arial Narrow" w:eastAsia="Arial Narrow" w:hAnsi="Arial Narrow"/>
          <w:sz w:val="24"/>
          <w:szCs w:val="24"/>
        </w:rPr>
      </w:pPr>
      <w:r w:rsidDel="00000000" w:rsidR="00000000" w:rsidRPr="00000000">
        <w:rPr>
          <w:rFonts w:ascii="Arial Narrow" w:cs="Arial Narrow" w:eastAsia="Arial Narrow" w:hAnsi="Arial Narrow"/>
          <w:sz w:val="24"/>
          <w:szCs w:val="24"/>
          <w:rtl w:val="0"/>
        </w:rPr>
        <w:t xml:space="preserve">Ospina, J. (2022). </w:t>
      </w:r>
      <w:r w:rsidDel="00000000" w:rsidR="00000000" w:rsidRPr="00000000">
        <w:rPr>
          <w:rFonts w:ascii="Arial Narrow" w:cs="Arial Narrow" w:eastAsia="Arial Narrow" w:hAnsi="Arial Narrow"/>
          <w:i w:val="1"/>
          <w:sz w:val="24"/>
          <w:szCs w:val="24"/>
          <w:rtl w:val="0"/>
        </w:rPr>
        <w:t xml:space="preserve">Guía de Ciencias Naturales 8°</w:t>
      </w:r>
      <w:r w:rsidDel="00000000" w:rsidR="00000000" w:rsidRPr="00000000">
        <w:rPr>
          <w:rFonts w:ascii="Arial Narrow" w:cs="Arial Narrow" w:eastAsia="Arial Narrow" w:hAnsi="Arial Narrow"/>
          <w:sz w:val="24"/>
          <w:szCs w:val="24"/>
          <w:rtl w:val="0"/>
        </w:rPr>
        <w:t xml:space="preserve">. Unit 3.</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480" w:lineRule="auto"/>
        <w:ind w:left="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pacing w:after="0" w:line="480" w:lineRule="auto"/>
        <w:ind w:left="780" w:hanging="36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NIH. (2018). </w:t>
      </w:r>
      <w:r w:rsidDel="00000000" w:rsidR="00000000" w:rsidRPr="00000000">
        <w:rPr>
          <w:rFonts w:ascii="Arial Narrow" w:cs="Arial Narrow" w:eastAsia="Arial Narrow" w:hAnsi="Arial Narrow"/>
          <w:i w:val="1"/>
          <w:color w:val="000000"/>
          <w:rtl w:val="0"/>
        </w:rPr>
        <w:t xml:space="preserve">What are the parts of the nervous system?</w:t>
      </w:r>
      <w:r w:rsidDel="00000000" w:rsidR="00000000" w:rsidRPr="00000000">
        <w:rPr>
          <w:rFonts w:ascii="Arial Narrow" w:cs="Arial Narrow" w:eastAsia="Arial Narrow" w:hAnsi="Arial Narrow"/>
          <w:color w:val="000000"/>
          <w:rtl w:val="0"/>
        </w:rPr>
        <w:t xml:space="preserve"> </w:t>
      </w:r>
      <w:hyperlink r:id="rId10">
        <w:r w:rsidDel="00000000" w:rsidR="00000000" w:rsidRPr="00000000">
          <w:rPr>
            <w:rFonts w:ascii="Arial Narrow" w:cs="Arial Narrow" w:eastAsia="Arial Narrow" w:hAnsi="Arial Narrow"/>
            <w:color w:val="1155cc"/>
            <w:u w:val="single"/>
            <w:rtl w:val="0"/>
          </w:rPr>
          <w:t xml:space="preserve">https://www.nichd.nih.gov/health/topics/neuro/conditioninfo/parts</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015">
      <w:pPr>
        <w:spacing w:after="0" w:line="480" w:lineRule="auto"/>
        <w:ind w:left="0" w:firstLine="0"/>
        <w:rPr>
          <w:rFonts w:ascii="Arial Narrow" w:cs="Arial Narrow" w:eastAsia="Arial Narrow" w:hAnsi="Arial Narrow"/>
          <w:sz w:val="24"/>
          <w:szCs w:val="24"/>
          <w:vertAlign w:val="baseline"/>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US"/>
      </w:rPr>
    </w:rPrDefault>
    <w:pPrDefault>
      <w:pPr>
        <w:spacing w:after="160" w:line="259"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ind w:left="-1" w:leftChars="-1" w:hanging="1" w:hangingChars="1"/>
      <w:textDirection w:val="btLr"/>
      <w:textAlignment w:val="top"/>
      <w:outlineLvl w:val="0"/>
    </w:pPr>
    <w:rPr>
      <w:position w:val="-1"/>
      <w:lang w:eastAsia="en-US"/>
    </w:rPr>
  </w:style>
  <w:style w:type="paragraph" w:styleId="Ttulo1">
    <w:name w:val="heading 1"/>
    <w:basedOn w:val="Normal"/>
    <w:next w:val="Normal"/>
    <w:uiPriority w:val="9"/>
    <w:qFormat w:val="1"/>
    <w:pPr>
      <w:keepNext w:val="1"/>
      <w:keepLines w:val="1"/>
      <w:spacing w:after="120" w:before="48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Prrafodelista">
    <w:name w:val="List Paragraph"/>
    <w:basedOn w:val="Normal"/>
    <w:pPr>
      <w:ind w:left="720"/>
      <w:contextualSpacing w:val="1"/>
    </w:pPr>
  </w:style>
  <w:style w:type="character" w:styleId="Hipervnculo">
    <w:name w:val="Hyperlink"/>
    <w:qFormat w:val="1"/>
    <w:rPr>
      <w:color w:val="0000ff"/>
      <w:w w:val="100"/>
      <w:position w:val="-1"/>
      <w:u w:val="single"/>
      <w:effect w:val="none"/>
      <w:vertAlign w:val="baseline"/>
      <w:cs w:val="0"/>
      <w:em w:val="none"/>
    </w:rPr>
  </w:style>
  <w:style w:type="paragraph" w:styleId="NormalWeb">
    <w:name w:val="Normal (Web)"/>
    <w:basedOn w:val="Normal"/>
    <w:uiPriority w:val="99"/>
    <w:qFormat w:val="1"/>
    <w:pPr>
      <w:spacing w:after="100" w:afterAutospacing="1" w:before="100" w:beforeAutospacing="1" w:line="240" w:lineRule="auto"/>
    </w:pPr>
    <w:rPr>
      <w:rFonts w:ascii="Times New Roman" w:eastAsia="Times New Roman" w:hAnsi="Times New Roman"/>
      <w:sz w:val="24"/>
      <w:szCs w:val="24"/>
      <w:lang w:eastAsia="es-PA" w:val="es-PA"/>
    </w:rPr>
  </w:style>
  <w:style w:type="character" w:styleId="Mencinsinresolver1" w:customStyle="1">
    <w:name w:val="Mención sin resolver1"/>
    <w:qFormat w:val="1"/>
    <w:rPr>
      <w:color w:val="605e5c"/>
      <w:w w:val="100"/>
      <w:position w:val="-1"/>
      <w:effect w:val="none"/>
      <w:shd w:color="auto" w:fill="e1dfdd" w:val="clear"/>
      <w:vertAlign w:val="baseline"/>
      <w:cs w:val="0"/>
      <w:em w:val="none"/>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nichd.nih.gov/health/topics/neuro/conditioninfo/parts" TargetMode="External"/><Relationship Id="rId9" Type="http://schemas.openxmlformats.org/officeDocument/2006/relationships/hyperlink" Target="https://www.hopkinsmedicine.org/health/wellness-and-prevention/anatomy-of-the-endocrine-syste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hopkinsmedicine.org/health/conditions-and-diseases/the-immune-system#:%7E:text=What%20is%20the%20immune%20system,and%20proteins%20that%20work%20togethe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Yll584qNj6N0aPt6YB2QCt2KlQ==">CgMxLjA4AHIhMTJxQXJUQVI4LTk3OE5WSmNoQlpTSjB5YXY3aEh3WWJ1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2023-06-29T16:31:00Z</dcterms:created>
  <dc:creator>Jefe de Area</dc:creator>
</cp:coreProperties>
</file>