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both"/>
        <w:rPr/>
      </w:pPr>
      <w:bookmarkStart w:colFirst="0" w:colLast="0" w:name="_heading=h.1fob9te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PLANES COMPLEMENTARIOS DE APOYO                          </w:t>
      </w:r>
      <w:r w:rsidDel="00000000" w:rsidR="00000000" w:rsidRPr="00000000">
        <w:rPr/>
        <w:drawing>
          <wp:inline distB="0" distT="0" distL="0" distR="0">
            <wp:extent cx="1285875" cy="724535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45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rial Narrow" w:cs="Arial Narrow" w:eastAsia="Arial Narrow" w:hAnsi="Arial Narrow"/>
          <w:b w:val="1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                 Grado: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10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Periodo: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            Año: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RECOMENDACIONES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8189"/>
          <w:tab w:val="right" w:leader="none" w:pos="9960"/>
        </w:tabs>
        <w:spacing w:line="360" w:lineRule="auto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programado del del 15 al 25 de octubre.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 El estudiante debe repasar los conceptos que se citan a continuación con ayuda de las notas de clase, el cuaderno y guías de trabajo con el fin de presentar sustentación que dé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line="360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¿De qué forma el lenguaje y la comunicación permiten al ser humano reconocer la intencionalidad comunicativa en la diversidad lingüística, a través de la identificación de los elementos fundamentales en los procesos de aprendizaje?</w:t>
      </w:r>
    </w:p>
    <w:p w:rsidR="00000000" w:rsidDel="00000000" w:rsidP="00000000" w:rsidRDefault="00000000" w:rsidRPr="00000000" w14:paraId="00000007">
      <w:pP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Utilizar el lenguaje de forma consciente, como una herramienta fundamental para la comunicación y el entendimiento asertivo con el otro, adoptando diversas posturas y criterios que permitan el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diálogo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y la búsqueda de acuerdos orales que permitan la sana convivencia.</w:t>
      </w:r>
    </w:p>
    <w:p w:rsidR="00000000" w:rsidDel="00000000" w:rsidP="00000000" w:rsidRDefault="00000000" w:rsidRPr="00000000" w14:paraId="0000000A">
      <w:pPr>
        <w:spacing w:after="0" w:line="360" w:lineRule="auto"/>
        <w:ind w:left="720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360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360" w:lineRule="auto"/>
        <w:ind w:left="72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Género poético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Estructuras textuales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Palabras homónimas y homógrafas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Campos y fenómenos semánticos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Comunicación y aprendizaje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Locuciones latinas y latinismos</w:t>
      </w:r>
    </w:p>
    <w:p w:rsidR="00000000" w:rsidDel="00000000" w:rsidP="00000000" w:rsidRDefault="00000000" w:rsidRPr="00000000" w14:paraId="00000013">
      <w:pPr>
        <w:spacing w:after="0" w:line="360" w:lineRule="auto"/>
        <w:jc w:val="both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360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Cuaderno de Español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Guía de actividades de Español Grado 10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  <w:color w:val="000000"/>
        </w:rPr>
      </w:pPr>
      <w:bookmarkStart w:colFirst="0" w:colLast="0" w:name="_heading=h.30j0zll" w:id="2"/>
      <w:bookmarkEnd w:id="2"/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Carpeta Drive: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Yolanda Elizabeth Marín,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Colegio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Ferrini. (2024). Temas trabajados en clase [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Carpeta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Referencias Temáticas]. Recuperado de </w:t>
      </w:r>
      <w:hyperlink r:id="rId8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https://drive.google.com/drive/folders/1cdtCo7qSSH8FlMuElHuK9De1yea_6S26?usp=drive_link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line="360" w:lineRule="auto"/>
        <w:ind w:left="720" w:hanging="360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El texto y sus propiedades: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Estuaria, L. (s.f.). El texto y sus propiedades coherencia y cohesión. SlideShare. Recuperado el 2 de septiembre de 2024 de: </w:t>
      </w:r>
      <w:hyperlink r:id="rId9">
        <w:r w:rsidDel="00000000" w:rsidR="00000000" w:rsidRPr="00000000">
          <w:rPr>
            <w:rFonts w:ascii="Arial Narrow" w:cs="Arial Narrow" w:eastAsia="Arial Narrow" w:hAnsi="Arial Narrow"/>
            <w:rtl w:val="0"/>
          </w:rPr>
          <w:t xml:space="preserve">https://es.slideshare.net/slideshow/el-texto-y-sus-propiedades-coherencia-y-cohesin/19621285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La comunicación: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Gamella-González, D. (2020). La comunicación como factor esencial de aprendizaje en las plataformas educativas virtuales. Comunicación Cultura y Política, 11, 64–83.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https://doi.org/10.21158/21451494.v11.n0.2020.2699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Aprendizaje colectivo: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De Laat, M.;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Jan Simons, R. (s.f). El Aprendizaje Colectivo. Descripción Personal. Blogspot.com. Recuperado el  2 de septiembre de 2024, de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http://cursodeherramientas.blogspot.com/2008/08/el-aprendizaje-colectivo.html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highlight w:val="white"/>
          <w:rtl w:val="0"/>
        </w:rPr>
        <w:t xml:space="preserve">Locuciones latinas:</w:t>
      </w:r>
      <w:r w:rsidDel="00000000" w:rsidR="00000000" w:rsidRPr="00000000">
        <w:rPr>
          <w:rFonts w:ascii="Arial Narrow" w:cs="Arial Narrow" w:eastAsia="Arial Narrow" w:hAnsi="Arial Narrow"/>
          <w:highlight w:val="white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highlight w:val="white"/>
          <w:vertAlign w:val="baseline"/>
          <w:rtl w:val="0"/>
        </w:rPr>
        <w:t xml:space="preserve">(s.n).(s.f). Locuciones Latinas Dipublico.org. Recuperado el 2 de septiembre de 2024, de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highlight w:val="white"/>
            <w:vertAlign w:val="baseline"/>
            <w:rtl w:val="0"/>
          </w:rPr>
          <w:t xml:space="preserve">https://www.dipublico.org/doc/latin.pdf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36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Género lírico: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Pérez, M. (s.f.). Género lírico. SlideShare. 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highlight w:val="white"/>
          <w:vertAlign w:val="baseline"/>
          <w:rtl w:val="0"/>
        </w:rPr>
        <w:t xml:space="preserve">Recuperado el 2 de septiembre de 2024 de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sz w:val="22"/>
          <w:szCs w:val="22"/>
          <w:shd w:fill="auto" w:val="clear"/>
          <w:vertAlign w:val="baseline"/>
          <w:rtl w:val="0"/>
        </w:rPr>
        <w:t xml:space="preserve">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sz w:val="22"/>
            <w:szCs w:val="22"/>
            <w:shd w:fill="auto" w:val="clear"/>
            <w:vertAlign w:val="baseline"/>
            <w:rtl w:val="0"/>
          </w:rPr>
          <w:t xml:space="preserve">https://es.slideshare.net/slideshow/gnero-lrico-54802723/54802723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line="360" w:lineRule="auto"/>
        <w:ind w:left="720" w:hanging="360"/>
        <w:jc w:val="both"/>
        <w:rPr/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Preguntas orientadoras: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65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principales características del género poético y cómo se diferencian de los otros géneros literarios? 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influye la métrica y la rima en la estructura de un poema, y qué ejemplos de diferentes estilos poéticos puedes proporcionar?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aspectos lingüísticos hacen que un poema sea especial y cómo puedes analizarlos para interpretar mejor un poema?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utilizan las categorías gramaticales básicas (artículo, pronombre, sustantivo, verbo, adjetivo, adverbio, conjunción, disyunción y preposición) en la construcción de un poema? 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 el concepto de semántica y proporciona ejemplos de cómo los significados 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de las palabras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pueden variar en diferentes contextos.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¿Cuáles son las diferencias entre palabras homónimas, homógrafas y homófonas? Proporciona ejemplos de cada una.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los hiperónimos y los hipónimos y cómo pueden ayudarte a entender mejor el significado de las palabras en un poema o en un texto?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son las palabras polisémicas y cómo puede su uso enriquecer o complicar el significado en la poesía?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¿Cómo se aplican las locuciones latinas y los latinismos en la lengua castellana moderna, y qué efecto tienen en la expresión literaria y académica?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6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¿Qué es el aprendizaje colectivo y cómo puede ser beneficioso para la comprensión y la creación de experiencias significativas en el aula y en la vida cotidiana?</w:t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65" w:firstLine="0"/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360" w:lineRule="auto"/>
        <w:ind w:left="765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14" w:type="default"/>
      <w:pgSz w:h="15840" w:w="12240" w:orient="portrait"/>
      <w:pgMar w:bottom="1417" w:top="1417" w:left="1701" w:right="1701" w:header="708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2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Textoindependient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Bolos" w:customStyle="1">
    <w:name w:val="Bolos"/>
    <w:qFormat w:val="1"/>
    <w:rPr>
      <w:rFonts w:ascii="OpenSymbol" w:cs="OpenSymbol" w:eastAsia="OpenSymbol" w:hAnsi="OpenSymbol"/>
    </w:rPr>
  </w:style>
  <w:style w:type="character" w:styleId="Smbolosdenumeracin" w:customStyle="1">
    <w:name w:val="Símbolos de numeración"/>
    <w:qFormat w:val="1"/>
  </w:style>
  <w:style w:type="character" w:styleId="Hipervnculo">
    <w:name w:val="Hyperlink"/>
    <w:rPr>
      <w:color w:val="000080"/>
      <w:u w:val="single"/>
    </w:rPr>
  </w:style>
  <w:style w:type="character" w:styleId="Hipervnculovisitado">
    <w:name w:val="FollowedHyperlink"/>
    <w:rPr>
      <w:color w:val="800000"/>
      <w:u w:val="single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Arial"/>
    </w:r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 w:val="1"/>
    <w:rsid w:val="0095104C"/>
    <w:pPr>
      <w:ind w:left="720"/>
      <w:contextualSpacing w:val="1"/>
    </w:pPr>
  </w:style>
  <w:style w:type="paragraph" w:styleId="Cabeceraypie" w:customStyle="1">
    <w:name w:val="Cabecera y pie"/>
    <w:basedOn w:val="Normal"/>
    <w:qFormat w:val="1"/>
  </w:style>
  <w:style w:type="paragraph" w:styleId="Encabezado">
    <w:name w:val="header"/>
    <w:basedOn w:val="Cabeceraypie"/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UnresolvedMention" w:customStyle="1">
    <w:name w:val="Unresolved Mention"/>
    <w:basedOn w:val="Fuentedeprrafopredeter"/>
    <w:uiPriority w:val="99"/>
    <w:semiHidden w:val="1"/>
    <w:unhideWhenUsed w:val="1"/>
    <w:rsid w:val="00F0658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cursodeherramientas.blogspot.com/2008/08/el-aprendizaje-colectivo.html" TargetMode="External"/><Relationship Id="rId10" Type="http://schemas.openxmlformats.org/officeDocument/2006/relationships/hyperlink" Target="https://doi.org/10.21158/21451494.v11.n0.2020.2699" TargetMode="External"/><Relationship Id="rId13" Type="http://schemas.openxmlformats.org/officeDocument/2006/relationships/hyperlink" Target="https://es.slideshare.net/slideshow/gnero-lrico-54802723/54802723" TargetMode="External"/><Relationship Id="rId12" Type="http://schemas.openxmlformats.org/officeDocument/2006/relationships/hyperlink" Target="https://www.dipublico.org/doc/latin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es.slideshare.net/slideshow/el-texto-y-sus-propiedades-coherencia-y-cohesin/19621285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rive.google.com/drive/folders/1cdtCo7qSSH8FlMuElHuK9De1yea_6S26?usp=drive_li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7rFYGSR+aWipczMrt9XzyDAzNw==">CgMxLjAyCWguMWZvYjl0ZTIIaC5namRneHMyCWguMzBqMHpsbDgAciExeUFGRTcxbU5uS01NcGZ6Y0dtRnhiUWkwSEdMdEhkb18=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2024-08-30T17:27:00Z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lpwstr>-1584742648</vt:lpwstr>
  </property>
</Properties>
</file>