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EC6" w:rsidRDefault="000F5EC6" w:rsidP="00B606AB">
      <w:pPr>
        <w:spacing w:line="360" w:lineRule="auto"/>
        <w:rPr>
          <w:rFonts w:ascii="Arial Narrow" w:eastAsia="Arial Narrow" w:hAnsi="Arial Narrow" w:cs="Arial Narrow"/>
        </w:rPr>
      </w:pPr>
      <w:bookmarkStart w:id="0" w:name="_GoBack"/>
      <w:bookmarkEnd w:id="0"/>
    </w:p>
    <w:p w:rsidR="000F5EC6" w:rsidRDefault="005C10A2">
      <w:pPr>
        <w:spacing w:line="360" w:lineRule="auto"/>
        <w:jc w:val="center"/>
        <w:rPr>
          <w:rFonts w:ascii="Arial Narrow" w:eastAsia="Arial Narrow" w:hAnsi="Arial Narrow" w:cs="Arial Narrow"/>
          <w:b/>
        </w:rPr>
      </w:pPr>
      <w:r>
        <w:rPr>
          <w:rFonts w:ascii="Arial Narrow" w:eastAsia="Arial Narrow" w:hAnsi="Arial Narrow" w:cs="Arial Narrow"/>
          <w:b/>
        </w:rPr>
        <w:t>PLANES COMPLEMENTARIOS DE APOYO</w:t>
      </w:r>
    </w:p>
    <w:p w:rsidR="000F5EC6" w:rsidRDefault="005C10A2">
      <w:pPr>
        <w:spacing w:line="360" w:lineRule="auto"/>
        <w:jc w:val="both"/>
        <w:rPr>
          <w:rFonts w:ascii="Arial Narrow" w:eastAsia="Arial Narrow" w:hAnsi="Arial Narrow" w:cs="Arial Narrow"/>
          <w:b/>
        </w:rPr>
      </w:pPr>
      <w:r>
        <w:rPr>
          <w:rFonts w:ascii="Arial Narrow" w:eastAsia="Arial Narrow" w:hAnsi="Arial Narrow" w:cs="Arial Narrow"/>
          <w:b/>
        </w:rPr>
        <w:t>Asignatura:</w:t>
      </w:r>
      <w:r>
        <w:rPr>
          <w:rFonts w:ascii="Arial Narrow" w:eastAsia="Arial Narrow" w:hAnsi="Arial Narrow" w:cs="Arial Narrow"/>
        </w:rPr>
        <w:t xml:space="preserve"> Religión</w:t>
      </w:r>
      <w:r>
        <w:rPr>
          <w:rFonts w:ascii="Arial Narrow" w:eastAsia="Arial Narrow" w:hAnsi="Arial Narrow" w:cs="Arial Narrow"/>
          <w:b/>
        </w:rPr>
        <w:t xml:space="preserve">        </w:t>
      </w:r>
      <w:r w:rsidR="00560C4C">
        <w:rPr>
          <w:rFonts w:ascii="Arial Narrow" w:eastAsia="Arial Narrow" w:hAnsi="Arial Narrow" w:cs="Arial Narrow"/>
          <w:b/>
        </w:rPr>
        <w:t xml:space="preserve">                                 </w:t>
      </w:r>
      <w:r>
        <w:rPr>
          <w:rFonts w:ascii="Arial Narrow" w:eastAsia="Arial Narrow" w:hAnsi="Arial Narrow" w:cs="Arial Narrow"/>
          <w:b/>
        </w:rPr>
        <w:t xml:space="preserve">Grado: </w:t>
      </w:r>
      <w:r>
        <w:rPr>
          <w:rFonts w:ascii="Arial Narrow" w:eastAsia="Arial Narrow" w:hAnsi="Arial Narrow" w:cs="Arial Narrow"/>
        </w:rPr>
        <w:t>8</w:t>
      </w:r>
      <w:r>
        <w:rPr>
          <w:rFonts w:ascii="Arial Narrow" w:eastAsia="Arial Narrow" w:hAnsi="Arial Narrow" w:cs="Arial Narrow"/>
          <w:b/>
        </w:rPr>
        <w:t xml:space="preserve">        Periodo: </w:t>
      </w:r>
      <w:r>
        <w:rPr>
          <w:rFonts w:ascii="Arial Narrow" w:eastAsia="Arial Narrow" w:hAnsi="Arial Narrow" w:cs="Arial Narrow"/>
        </w:rPr>
        <w:t>I</w:t>
      </w:r>
      <w:r>
        <w:rPr>
          <w:rFonts w:ascii="Arial Narrow" w:eastAsia="Arial Narrow" w:hAnsi="Arial Narrow" w:cs="Arial Narrow"/>
          <w:b/>
        </w:rPr>
        <w:t xml:space="preserve">V                     Año: </w:t>
      </w:r>
      <w:r>
        <w:rPr>
          <w:rFonts w:ascii="Arial Narrow" w:eastAsia="Arial Narrow" w:hAnsi="Arial Narrow" w:cs="Arial Narrow"/>
        </w:rPr>
        <w:t>2024</w:t>
      </w:r>
    </w:p>
    <w:p w:rsidR="00560C4C" w:rsidRDefault="00560C4C">
      <w:pPr>
        <w:spacing w:line="360" w:lineRule="auto"/>
        <w:jc w:val="both"/>
        <w:rPr>
          <w:rFonts w:ascii="Arial Narrow" w:eastAsia="Arial Narrow" w:hAnsi="Arial Narrow" w:cs="Arial Narrow"/>
          <w:b/>
        </w:rPr>
      </w:pPr>
    </w:p>
    <w:p w:rsidR="000F5EC6" w:rsidRDefault="005C10A2">
      <w:pPr>
        <w:spacing w:line="360" w:lineRule="auto"/>
        <w:jc w:val="both"/>
        <w:rPr>
          <w:rFonts w:ascii="Arial Narrow" w:eastAsia="Arial Narrow" w:hAnsi="Arial Narrow" w:cs="Arial Narrow"/>
          <w:b/>
        </w:rPr>
      </w:pPr>
      <w:r>
        <w:rPr>
          <w:rFonts w:ascii="Arial Narrow" w:eastAsia="Arial Narrow" w:hAnsi="Arial Narrow" w:cs="Arial Narrow"/>
          <w:b/>
        </w:rPr>
        <w:t>RECOMENDACIONES</w:t>
      </w:r>
    </w:p>
    <w:p w:rsidR="00560C4C" w:rsidRDefault="005C10A2" w:rsidP="00560C4C">
      <w:pPr>
        <w:tabs>
          <w:tab w:val="left" w:pos="8189"/>
          <w:tab w:val="right" w:pos="9960"/>
        </w:tabs>
        <w:spacing w:after="0" w:line="276" w:lineRule="auto"/>
        <w:jc w:val="both"/>
        <w:rPr>
          <w:rFonts w:ascii="Arial Narrow" w:eastAsia="Arial Narrow" w:hAnsi="Arial Narrow" w:cs="Arial Narrow"/>
          <w:i/>
        </w:rPr>
      </w:pPr>
      <w:r>
        <w:rPr>
          <w:rFonts w:ascii="Arial Narrow" w:eastAsia="Arial Narrow" w:hAnsi="Arial Narrow" w:cs="Arial Narrow"/>
          <w:i/>
        </w:rPr>
        <w:t xml:space="preserve">Cada periodo el docente formula una pregunta </w:t>
      </w:r>
      <w:proofErr w:type="spellStart"/>
      <w:r>
        <w:rPr>
          <w:rFonts w:ascii="Arial Narrow" w:eastAsia="Arial Narrow" w:hAnsi="Arial Narrow" w:cs="Arial Narrow"/>
          <w:i/>
        </w:rPr>
        <w:t>problematizadora</w:t>
      </w:r>
      <w:proofErr w:type="spellEnd"/>
      <w:r>
        <w:rPr>
          <w:rFonts w:ascii="Arial Narrow" w:eastAsia="Arial Narrow" w:hAnsi="Arial Narrow" w:cs="Arial Narrow"/>
          <w:i/>
        </w:rPr>
        <w:t xml:space="preserve"> o situación problema relacionada con las metas de aprendizaje que le ayudan al estudiante a prepararse para sustentar sus conocimientos y niveles de competencia desde cada área. </w:t>
      </w:r>
      <w:r w:rsidR="00560C4C" w:rsidRPr="00BA588D">
        <w:rPr>
          <w:rFonts w:ascii="Arial Narrow" w:eastAsia="Arial Narrow" w:hAnsi="Arial Narrow" w:cs="Arial Narrow"/>
          <w:i/>
        </w:rPr>
        <w:t>Este proceso está programado para la sema</w:t>
      </w:r>
      <w:r w:rsidR="00560C4C">
        <w:rPr>
          <w:rFonts w:ascii="Arial Narrow" w:eastAsia="Arial Narrow" w:hAnsi="Arial Narrow" w:cs="Arial Narrow"/>
          <w:i/>
        </w:rPr>
        <w:t>na del 15 al 24</w:t>
      </w:r>
      <w:r w:rsidR="00560C4C" w:rsidRPr="00BA588D">
        <w:rPr>
          <w:rFonts w:ascii="Arial Narrow" w:eastAsia="Arial Narrow" w:hAnsi="Arial Narrow" w:cs="Arial Narrow"/>
          <w:i/>
        </w:rPr>
        <w:t xml:space="preserve"> de octubre. El estudiante debe repasar los conceptos que se citan a continuación con ayuda de las notas de clase, el cuaderno y guías de trabajo con el fin de presentar sustentación que dé cuenta de las competencias adquiridas.</w:t>
      </w:r>
    </w:p>
    <w:p w:rsidR="00560C4C" w:rsidRPr="00BA588D" w:rsidRDefault="00560C4C" w:rsidP="00560C4C">
      <w:pPr>
        <w:tabs>
          <w:tab w:val="left" w:pos="8189"/>
          <w:tab w:val="right" w:pos="9960"/>
        </w:tabs>
        <w:spacing w:after="0" w:line="276" w:lineRule="auto"/>
        <w:jc w:val="both"/>
        <w:rPr>
          <w:rFonts w:ascii="Arial Narrow" w:eastAsia="Arial Narrow" w:hAnsi="Arial Narrow" w:cs="Arial Narrow"/>
          <w:i/>
        </w:rPr>
      </w:pPr>
    </w:p>
    <w:p w:rsidR="000F5EC6" w:rsidRDefault="000F5EC6" w:rsidP="00560C4C">
      <w:pPr>
        <w:tabs>
          <w:tab w:val="left" w:pos="8189"/>
          <w:tab w:val="right" w:pos="9960"/>
        </w:tabs>
        <w:spacing w:after="0" w:line="276" w:lineRule="auto"/>
        <w:jc w:val="both"/>
        <w:rPr>
          <w:rFonts w:ascii="Arial Narrow" w:eastAsia="Arial Narrow" w:hAnsi="Arial Narrow" w:cs="Arial Narrow"/>
          <w:b/>
          <w:color w:val="000000"/>
        </w:rPr>
      </w:pPr>
    </w:p>
    <w:p w:rsidR="000F5EC6" w:rsidRDefault="005C10A2">
      <w:pPr>
        <w:numPr>
          <w:ilvl w:val="0"/>
          <w:numId w:val="1"/>
        </w:numPr>
        <w:pBdr>
          <w:top w:val="nil"/>
          <w:left w:val="nil"/>
          <w:bottom w:val="nil"/>
          <w:right w:val="nil"/>
          <w:between w:val="nil"/>
        </w:pBdr>
        <w:spacing w:after="0"/>
        <w:rPr>
          <w:rFonts w:ascii="Arial Narrow" w:eastAsia="Arial Narrow" w:hAnsi="Arial Narrow" w:cs="Arial Narrow"/>
          <w:b/>
          <w:color w:val="000000"/>
        </w:rPr>
      </w:pPr>
      <w:r>
        <w:rPr>
          <w:rFonts w:ascii="Arial Narrow" w:eastAsia="Arial Narrow" w:hAnsi="Arial Narrow" w:cs="Arial Narrow"/>
          <w:b/>
          <w:color w:val="000000"/>
        </w:rPr>
        <w:t xml:space="preserve">Pregunta </w:t>
      </w:r>
      <w:proofErr w:type="spellStart"/>
      <w:r>
        <w:rPr>
          <w:rFonts w:ascii="Arial Narrow" w:eastAsia="Arial Narrow" w:hAnsi="Arial Narrow" w:cs="Arial Narrow"/>
          <w:b/>
          <w:color w:val="000000"/>
        </w:rPr>
        <w:t>Problematizadora</w:t>
      </w:r>
      <w:proofErr w:type="spellEnd"/>
    </w:p>
    <w:p w:rsidR="000F5EC6" w:rsidRDefault="000F5EC6">
      <w:pPr>
        <w:pBdr>
          <w:top w:val="nil"/>
          <w:left w:val="nil"/>
          <w:bottom w:val="nil"/>
          <w:right w:val="nil"/>
          <w:between w:val="nil"/>
        </w:pBdr>
        <w:spacing w:after="0"/>
        <w:ind w:left="720"/>
        <w:rPr>
          <w:rFonts w:ascii="Arial Narrow" w:eastAsia="Arial Narrow" w:hAnsi="Arial Narrow" w:cs="Arial Narrow"/>
          <w:color w:val="000000"/>
        </w:rPr>
      </w:pPr>
    </w:p>
    <w:p w:rsidR="000F5EC6" w:rsidRDefault="005C10A2">
      <w:pPr>
        <w:pBdr>
          <w:top w:val="nil"/>
          <w:left w:val="nil"/>
          <w:bottom w:val="nil"/>
          <w:right w:val="nil"/>
          <w:between w:val="nil"/>
        </w:pBdr>
        <w:spacing w:after="0"/>
        <w:ind w:left="720"/>
        <w:rPr>
          <w:rFonts w:ascii="Arial Narrow" w:eastAsia="Arial Narrow" w:hAnsi="Arial Narrow" w:cs="Arial Narrow"/>
          <w:color w:val="000000"/>
        </w:rPr>
      </w:pPr>
      <w:r>
        <w:rPr>
          <w:rFonts w:ascii="Arial Narrow" w:eastAsia="Arial Narrow" w:hAnsi="Arial Narrow" w:cs="Arial Narrow"/>
          <w:color w:val="000000"/>
        </w:rPr>
        <w:t xml:space="preserve">¿Podríamos afirmar que la experiencia religiosa (Religión), a través de la historia </w:t>
      </w:r>
      <w:r w:rsidR="00560C4C">
        <w:rPr>
          <w:rFonts w:ascii="Arial Narrow" w:eastAsia="Arial Narrow" w:hAnsi="Arial Narrow" w:cs="Arial Narrow"/>
          <w:color w:val="000000"/>
        </w:rPr>
        <w:t>humana, puede</w:t>
      </w:r>
      <w:r>
        <w:rPr>
          <w:rFonts w:ascii="Arial Narrow" w:eastAsia="Arial Narrow" w:hAnsi="Arial Narrow" w:cs="Arial Narrow"/>
          <w:color w:val="000000"/>
        </w:rPr>
        <w:t xml:space="preserve"> oficiar </w:t>
      </w:r>
      <w:r w:rsidR="00560C4C">
        <w:rPr>
          <w:rFonts w:ascii="Arial Narrow" w:eastAsia="Arial Narrow" w:hAnsi="Arial Narrow" w:cs="Arial Narrow"/>
          <w:color w:val="000000"/>
        </w:rPr>
        <w:t>como herramienta</w:t>
      </w:r>
      <w:r>
        <w:rPr>
          <w:rFonts w:ascii="Arial Narrow" w:eastAsia="Arial Narrow" w:hAnsi="Arial Narrow" w:cs="Arial Narrow"/>
          <w:color w:val="000000"/>
        </w:rPr>
        <w:t xml:space="preserve"> académica para explicar el orden y la estructura social de sus comunidades? </w:t>
      </w:r>
    </w:p>
    <w:p w:rsidR="000F5EC6" w:rsidRDefault="000F5EC6">
      <w:pPr>
        <w:pBdr>
          <w:top w:val="nil"/>
          <w:left w:val="nil"/>
          <w:bottom w:val="nil"/>
          <w:right w:val="nil"/>
          <w:between w:val="nil"/>
        </w:pBdr>
        <w:spacing w:after="0"/>
        <w:ind w:left="720"/>
        <w:rPr>
          <w:rFonts w:ascii="Arial Narrow" w:eastAsia="Arial Narrow" w:hAnsi="Arial Narrow" w:cs="Arial Narrow"/>
          <w:b/>
          <w:color w:val="000000"/>
        </w:rPr>
      </w:pPr>
    </w:p>
    <w:p w:rsidR="000F5EC6" w:rsidRDefault="005C10A2">
      <w:pPr>
        <w:numPr>
          <w:ilvl w:val="0"/>
          <w:numId w:val="1"/>
        </w:numPr>
        <w:pBdr>
          <w:top w:val="nil"/>
          <w:left w:val="nil"/>
          <w:bottom w:val="nil"/>
          <w:right w:val="nil"/>
          <w:between w:val="nil"/>
        </w:pBdr>
        <w:spacing w:after="0"/>
        <w:rPr>
          <w:rFonts w:ascii="Arial Narrow" w:eastAsia="Arial Narrow" w:hAnsi="Arial Narrow" w:cs="Arial Narrow"/>
          <w:b/>
          <w:color w:val="000000"/>
        </w:rPr>
      </w:pPr>
      <w:r>
        <w:rPr>
          <w:rFonts w:ascii="Arial Narrow" w:eastAsia="Arial Narrow" w:hAnsi="Arial Narrow" w:cs="Arial Narrow"/>
          <w:b/>
          <w:color w:val="000000"/>
        </w:rPr>
        <w:t>Metas de aprendizaje</w:t>
      </w:r>
    </w:p>
    <w:p w:rsidR="000F5EC6" w:rsidRDefault="000F5EC6">
      <w:pPr>
        <w:pBdr>
          <w:top w:val="nil"/>
          <w:left w:val="nil"/>
          <w:bottom w:val="nil"/>
          <w:right w:val="nil"/>
          <w:between w:val="nil"/>
        </w:pBdr>
        <w:spacing w:after="0"/>
        <w:ind w:left="720"/>
        <w:rPr>
          <w:rFonts w:ascii="Arial Narrow" w:eastAsia="Arial Narrow" w:hAnsi="Arial Narrow" w:cs="Arial Narrow"/>
          <w:b/>
          <w:color w:val="000000"/>
        </w:rPr>
      </w:pPr>
    </w:p>
    <w:p w:rsidR="000F5EC6" w:rsidRDefault="005C10A2">
      <w:pPr>
        <w:pBdr>
          <w:top w:val="nil"/>
          <w:left w:val="nil"/>
          <w:bottom w:val="nil"/>
          <w:right w:val="nil"/>
          <w:between w:val="nil"/>
        </w:pBdr>
        <w:spacing w:after="0"/>
        <w:ind w:left="720"/>
        <w:jc w:val="both"/>
        <w:rPr>
          <w:rFonts w:ascii="Arial Narrow" w:eastAsia="Arial Narrow" w:hAnsi="Arial Narrow" w:cs="Arial Narrow"/>
          <w:color w:val="000000"/>
        </w:rPr>
      </w:pPr>
      <w:r>
        <w:rPr>
          <w:rFonts w:ascii="Arial Narrow" w:eastAsia="Arial Narrow" w:hAnsi="Arial Narrow" w:cs="Arial Narrow"/>
          <w:color w:val="000000"/>
        </w:rPr>
        <w:t>Al finalizar el periodo el estudiante estará en capacidad de reconocer el desarrollo histórico de la religión como herramienta académica que tiene por objeto fundamental ampliar el rango de comprensión sobre los cimientos de los primeros y posteriores modelos de sociedades humanas.</w:t>
      </w:r>
    </w:p>
    <w:p w:rsidR="000F5EC6" w:rsidRDefault="000F5EC6">
      <w:pPr>
        <w:pBdr>
          <w:top w:val="nil"/>
          <w:left w:val="nil"/>
          <w:bottom w:val="nil"/>
          <w:right w:val="nil"/>
          <w:between w:val="nil"/>
        </w:pBdr>
        <w:spacing w:after="0"/>
        <w:ind w:left="720"/>
        <w:rPr>
          <w:rFonts w:ascii="Arial Narrow" w:eastAsia="Arial Narrow" w:hAnsi="Arial Narrow" w:cs="Arial Narrow"/>
          <w:b/>
          <w:color w:val="000000"/>
        </w:rPr>
      </w:pPr>
    </w:p>
    <w:p w:rsidR="000F5EC6" w:rsidRDefault="005C10A2">
      <w:pPr>
        <w:numPr>
          <w:ilvl w:val="0"/>
          <w:numId w:val="1"/>
        </w:numPr>
        <w:pBdr>
          <w:top w:val="nil"/>
          <w:left w:val="nil"/>
          <w:bottom w:val="nil"/>
          <w:right w:val="nil"/>
          <w:between w:val="nil"/>
        </w:pBdr>
        <w:spacing w:after="0"/>
        <w:rPr>
          <w:rFonts w:ascii="Arial Narrow" w:eastAsia="Arial Narrow" w:hAnsi="Arial Narrow" w:cs="Arial Narrow"/>
          <w:b/>
          <w:color w:val="000000"/>
        </w:rPr>
      </w:pPr>
      <w:r>
        <w:rPr>
          <w:rFonts w:ascii="Arial Narrow" w:eastAsia="Arial Narrow" w:hAnsi="Arial Narrow" w:cs="Arial Narrow"/>
          <w:b/>
          <w:color w:val="000000"/>
        </w:rPr>
        <w:t>Conceptos académicos desarrollados durante el periodo</w:t>
      </w:r>
    </w:p>
    <w:p w:rsidR="000F5EC6" w:rsidRDefault="005C10A2">
      <w:pPr>
        <w:pBdr>
          <w:top w:val="nil"/>
          <w:left w:val="nil"/>
          <w:bottom w:val="nil"/>
          <w:right w:val="nil"/>
          <w:between w:val="nil"/>
        </w:pBdr>
        <w:spacing w:after="0"/>
        <w:ind w:left="720"/>
        <w:rPr>
          <w:rFonts w:ascii="Arial Narrow" w:eastAsia="Arial Narrow" w:hAnsi="Arial Narrow" w:cs="Arial Narrow"/>
          <w:color w:val="000000"/>
        </w:rPr>
      </w:pPr>
      <w:r>
        <w:rPr>
          <w:rFonts w:ascii="Arial Narrow" w:eastAsia="Arial Narrow" w:hAnsi="Arial Narrow" w:cs="Arial Narrow"/>
          <w:color w:val="000000"/>
        </w:rPr>
        <w:br/>
        <w:t>- Religare</w:t>
      </w:r>
      <w:r>
        <w:rPr>
          <w:rFonts w:ascii="Arial Narrow" w:eastAsia="Arial Narrow" w:hAnsi="Arial Narrow" w:cs="Arial Narrow"/>
          <w:color w:val="000000"/>
        </w:rPr>
        <w:br/>
        <w:t xml:space="preserve">- </w:t>
      </w:r>
      <w:proofErr w:type="spellStart"/>
      <w:r>
        <w:rPr>
          <w:rFonts w:ascii="Arial Narrow" w:eastAsia="Arial Narrow" w:hAnsi="Arial Narrow" w:cs="Arial Narrow"/>
          <w:color w:val="000000"/>
        </w:rPr>
        <w:t>Religious</w:t>
      </w:r>
      <w:proofErr w:type="spellEnd"/>
      <w:r>
        <w:rPr>
          <w:rFonts w:ascii="Arial Narrow" w:eastAsia="Arial Narrow" w:hAnsi="Arial Narrow" w:cs="Arial Narrow"/>
          <w:color w:val="000000"/>
        </w:rPr>
        <w:br/>
        <w:t>- Producto cultural</w:t>
      </w:r>
      <w:r>
        <w:rPr>
          <w:rFonts w:ascii="Arial Narrow" w:eastAsia="Arial Narrow" w:hAnsi="Arial Narrow" w:cs="Arial Narrow"/>
          <w:color w:val="000000"/>
        </w:rPr>
        <w:br/>
        <w:t>- Antigüedad</w:t>
      </w:r>
      <w:r>
        <w:rPr>
          <w:rFonts w:ascii="Arial Narrow" w:eastAsia="Arial Narrow" w:hAnsi="Arial Narrow" w:cs="Arial Narrow"/>
          <w:color w:val="000000"/>
        </w:rPr>
        <w:br/>
        <w:t>-</w:t>
      </w:r>
      <w:r w:rsidR="00B44774">
        <w:rPr>
          <w:rFonts w:ascii="Arial Narrow" w:eastAsia="Arial Narrow" w:hAnsi="Arial Narrow" w:cs="Arial Narrow"/>
          <w:color w:val="000000"/>
        </w:rPr>
        <w:t xml:space="preserve"> </w:t>
      </w:r>
      <w:r>
        <w:rPr>
          <w:rFonts w:ascii="Arial Narrow" w:eastAsia="Arial Narrow" w:hAnsi="Arial Narrow" w:cs="Arial Narrow"/>
          <w:color w:val="000000"/>
        </w:rPr>
        <w:t>Progreso social</w:t>
      </w:r>
    </w:p>
    <w:p w:rsidR="000F5EC6" w:rsidRDefault="005C10A2">
      <w:pPr>
        <w:pBdr>
          <w:top w:val="nil"/>
          <w:left w:val="nil"/>
          <w:bottom w:val="nil"/>
          <w:right w:val="nil"/>
          <w:between w:val="nil"/>
        </w:pBdr>
        <w:spacing w:after="0"/>
        <w:ind w:left="720"/>
        <w:rPr>
          <w:rFonts w:ascii="Arial Narrow" w:eastAsia="Arial Narrow" w:hAnsi="Arial Narrow" w:cs="Arial Narrow"/>
          <w:color w:val="000000"/>
        </w:rPr>
      </w:pPr>
      <w:r>
        <w:rPr>
          <w:rFonts w:ascii="Arial Narrow" w:eastAsia="Arial Narrow" w:hAnsi="Arial Narrow" w:cs="Arial Narrow"/>
          <w:color w:val="000000"/>
        </w:rPr>
        <w:t>-</w:t>
      </w:r>
      <w:r w:rsidR="00B44774">
        <w:rPr>
          <w:rFonts w:ascii="Arial Narrow" w:eastAsia="Arial Narrow" w:hAnsi="Arial Narrow" w:cs="Arial Narrow"/>
          <w:color w:val="000000"/>
        </w:rPr>
        <w:t xml:space="preserve"> </w:t>
      </w:r>
      <w:r>
        <w:rPr>
          <w:rFonts w:ascii="Arial Narrow" w:eastAsia="Arial Narrow" w:hAnsi="Arial Narrow" w:cs="Arial Narrow"/>
          <w:color w:val="000000"/>
        </w:rPr>
        <w:t>Estructura social</w:t>
      </w:r>
    </w:p>
    <w:p w:rsidR="000F5EC6" w:rsidRDefault="005C10A2">
      <w:pPr>
        <w:pBdr>
          <w:top w:val="nil"/>
          <w:left w:val="nil"/>
          <w:bottom w:val="nil"/>
          <w:right w:val="nil"/>
          <w:between w:val="nil"/>
        </w:pBdr>
        <w:spacing w:after="0"/>
        <w:ind w:left="720"/>
        <w:rPr>
          <w:rFonts w:ascii="Arial Narrow" w:eastAsia="Arial Narrow" w:hAnsi="Arial Narrow" w:cs="Arial Narrow"/>
          <w:color w:val="000000"/>
        </w:rPr>
      </w:pPr>
      <w:r>
        <w:rPr>
          <w:rFonts w:ascii="Arial Narrow" w:eastAsia="Arial Narrow" w:hAnsi="Arial Narrow" w:cs="Arial Narrow"/>
          <w:color w:val="000000"/>
        </w:rPr>
        <w:t>-</w:t>
      </w:r>
      <w:r w:rsidR="00B44774">
        <w:rPr>
          <w:rFonts w:ascii="Arial Narrow" w:eastAsia="Arial Narrow" w:hAnsi="Arial Narrow" w:cs="Arial Narrow"/>
          <w:color w:val="000000"/>
        </w:rPr>
        <w:t xml:space="preserve"> </w:t>
      </w:r>
      <w:r>
        <w:rPr>
          <w:rFonts w:ascii="Arial Narrow" w:eastAsia="Arial Narrow" w:hAnsi="Arial Narrow" w:cs="Arial Narrow"/>
          <w:color w:val="000000"/>
        </w:rPr>
        <w:t>Estructura cognitiva</w:t>
      </w:r>
    </w:p>
    <w:p w:rsidR="000F5EC6" w:rsidRDefault="000F5EC6">
      <w:pPr>
        <w:pBdr>
          <w:top w:val="nil"/>
          <w:left w:val="nil"/>
          <w:bottom w:val="nil"/>
          <w:right w:val="nil"/>
          <w:between w:val="nil"/>
        </w:pBdr>
        <w:spacing w:after="0"/>
        <w:ind w:left="720"/>
        <w:rPr>
          <w:rFonts w:ascii="Arial Narrow" w:eastAsia="Arial Narrow" w:hAnsi="Arial Narrow" w:cs="Arial Narrow"/>
          <w:color w:val="000000"/>
        </w:rPr>
      </w:pPr>
    </w:p>
    <w:p w:rsidR="000F5EC6" w:rsidRDefault="005C10A2">
      <w:pPr>
        <w:numPr>
          <w:ilvl w:val="0"/>
          <w:numId w:val="1"/>
        </w:numPr>
        <w:pBdr>
          <w:top w:val="nil"/>
          <w:left w:val="nil"/>
          <w:bottom w:val="nil"/>
          <w:right w:val="nil"/>
          <w:between w:val="nil"/>
        </w:pBdr>
        <w:spacing w:after="0"/>
        <w:rPr>
          <w:rFonts w:ascii="Arial Narrow" w:eastAsia="Arial Narrow" w:hAnsi="Arial Narrow" w:cs="Arial Narrow"/>
          <w:color w:val="000000"/>
        </w:rPr>
      </w:pPr>
      <w:r>
        <w:rPr>
          <w:rFonts w:ascii="Arial Narrow" w:eastAsia="Arial Narrow" w:hAnsi="Arial Narrow" w:cs="Arial Narrow"/>
          <w:b/>
          <w:color w:val="000000"/>
        </w:rPr>
        <w:t xml:space="preserve">Referencias bibliográficas </w:t>
      </w:r>
    </w:p>
    <w:p w:rsidR="000F5EC6" w:rsidRDefault="000F5EC6">
      <w:pPr>
        <w:pBdr>
          <w:top w:val="nil"/>
          <w:left w:val="nil"/>
          <w:bottom w:val="nil"/>
          <w:right w:val="nil"/>
          <w:between w:val="nil"/>
        </w:pBdr>
        <w:spacing w:after="0"/>
        <w:ind w:left="720"/>
        <w:rPr>
          <w:rFonts w:ascii="Arial Narrow" w:eastAsia="Arial Narrow" w:hAnsi="Arial Narrow" w:cs="Arial Narrow"/>
          <w:b/>
          <w:color w:val="000000"/>
        </w:rPr>
      </w:pPr>
    </w:p>
    <w:p w:rsidR="000F5EC6" w:rsidRDefault="005C10A2">
      <w:pPr>
        <w:pBdr>
          <w:top w:val="nil"/>
          <w:left w:val="nil"/>
          <w:bottom w:val="nil"/>
          <w:right w:val="nil"/>
          <w:between w:val="nil"/>
        </w:pBdr>
        <w:spacing w:after="0"/>
        <w:ind w:left="720"/>
        <w:rPr>
          <w:rFonts w:ascii="Arial Narrow" w:eastAsia="Arial Narrow" w:hAnsi="Arial Narrow" w:cs="Arial Narrow"/>
          <w:color w:val="0F0F0F"/>
        </w:rPr>
      </w:pPr>
      <w:r>
        <w:rPr>
          <w:rFonts w:ascii="Arial Narrow" w:eastAsia="Arial Narrow" w:hAnsi="Arial Narrow" w:cs="Arial Narrow"/>
          <w:color w:val="0F0F0F"/>
        </w:rPr>
        <w:t>“Raíces sociales y gnoseológicas de la religión en la sociedad primitiva”</w:t>
      </w:r>
      <w:r>
        <w:rPr>
          <w:rFonts w:ascii="Arial Narrow" w:eastAsia="Arial Narrow" w:hAnsi="Arial Narrow" w:cs="Arial Narrow"/>
          <w:color w:val="0F0F0F"/>
        </w:rPr>
        <w:br/>
      </w:r>
      <w:hyperlink r:id="rId8">
        <w:r>
          <w:rPr>
            <w:rFonts w:ascii="Arial Narrow" w:eastAsia="Arial Narrow" w:hAnsi="Arial Narrow" w:cs="Arial Narrow"/>
            <w:color w:val="0000FF"/>
            <w:u w:val="single"/>
          </w:rPr>
          <w:t>file:///C:/Users/Toshiba/Downloads/Dialnet-RaicesSocialesYGnoseologicasDeLaReligionEnLaSocied-5797565.pdf</w:t>
        </w:r>
      </w:hyperlink>
    </w:p>
    <w:p w:rsidR="000F5EC6" w:rsidRDefault="000F5EC6">
      <w:pPr>
        <w:pBdr>
          <w:top w:val="nil"/>
          <w:left w:val="nil"/>
          <w:bottom w:val="nil"/>
          <w:right w:val="nil"/>
          <w:between w:val="nil"/>
        </w:pBdr>
        <w:spacing w:after="0"/>
        <w:ind w:left="720"/>
        <w:rPr>
          <w:rFonts w:ascii="Arial Narrow" w:eastAsia="Arial Narrow" w:hAnsi="Arial Narrow" w:cs="Arial Narrow"/>
          <w:color w:val="0F0F0F"/>
        </w:rPr>
      </w:pPr>
    </w:p>
    <w:p w:rsidR="000F5EC6" w:rsidRDefault="005C10A2">
      <w:pPr>
        <w:pBdr>
          <w:top w:val="nil"/>
          <w:left w:val="nil"/>
          <w:bottom w:val="nil"/>
          <w:right w:val="nil"/>
          <w:between w:val="nil"/>
        </w:pBdr>
        <w:ind w:left="720"/>
        <w:rPr>
          <w:rFonts w:ascii="Arial Narrow" w:eastAsia="Arial Narrow" w:hAnsi="Arial Narrow" w:cs="Arial Narrow"/>
          <w:color w:val="0F0F0F"/>
        </w:rPr>
      </w:pPr>
      <w:proofErr w:type="spellStart"/>
      <w:r>
        <w:rPr>
          <w:rFonts w:ascii="Arial Narrow" w:eastAsia="Arial Narrow" w:hAnsi="Arial Narrow" w:cs="Arial Narrow"/>
          <w:color w:val="0F0F0F"/>
        </w:rPr>
        <w:lastRenderedPageBreak/>
        <w:t>Antezana</w:t>
      </w:r>
      <w:proofErr w:type="spellEnd"/>
      <w:r>
        <w:rPr>
          <w:rFonts w:ascii="Arial Narrow" w:eastAsia="Arial Narrow" w:hAnsi="Arial Narrow" w:cs="Arial Narrow"/>
          <w:color w:val="0F0F0F"/>
        </w:rPr>
        <w:t xml:space="preserve">, R. Raíces sociales y gnoseológicas de la religión en la sociedad primitiva. 93-105.Horizonte de la Ciencia 6 (11) diciembre 2016 FE/UNCP. ISSN (Impreso): 2304-4330/ ISSN (En Línea): 2413-936X. </w:t>
      </w:r>
      <w:hyperlink r:id="rId9">
        <w:r>
          <w:rPr>
            <w:rFonts w:ascii="Arial Narrow" w:eastAsia="Arial Narrow" w:hAnsi="Arial Narrow" w:cs="Arial Narrow"/>
            <w:color w:val="0000FF"/>
            <w:u w:val="single"/>
          </w:rPr>
          <w:t>https://dialnet.unirioja.es/descarga/articulo/5797565.pdf</w:t>
        </w:r>
      </w:hyperlink>
      <w:r>
        <w:rPr>
          <w:rFonts w:ascii="Arial Narrow" w:eastAsia="Arial Narrow" w:hAnsi="Arial Narrow" w:cs="Arial Narrow"/>
          <w:color w:val="0F0F0F"/>
        </w:rPr>
        <w:t xml:space="preserve"> </w:t>
      </w:r>
    </w:p>
    <w:sectPr w:rsidR="000F5EC6">
      <w:headerReference w:type="default" r:id="rId10"/>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7DE" w:rsidRDefault="005C57DE" w:rsidP="00B606AB">
      <w:pPr>
        <w:spacing w:after="0" w:line="240" w:lineRule="auto"/>
      </w:pPr>
      <w:r>
        <w:separator/>
      </w:r>
    </w:p>
  </w:endnote>
  <w:endnote w:type="continuationSeparator" w:id="0">
    <w:p w:rsidR="005C57DE" w:rsidRDefault="005C57DE" w:rsidP="00B60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7DE" w:rsidRDefault="005C57DE" w:rsidP="00B606AB">
      <w:pPr>
        <w:spacing w:after="0" w:line="240" w:lineRule="auto"/>
      </w:pPr>
      <w:r>
        <w:separator/>
      </w:r>
    </w:p>
  </w:footnote>
  <w:footnote w:type="continuationSeparator" w:id="0">
    <w:p w:rsidR="005C57DE" w:rsidRDefault="005C57DE" w:rsidP="00B606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6AB" w:rsidRDefault="00B606AB">
    <w:pPr>
      <w:pStyle w:val="Encabezado"/>
    </w:pPr>
    <w:r>
      <w:rPr>
        <w:noProof/>
        <w:lang w:val="en-US"/>
      </w:rPr>
      <w:drawing>
        <wp:anchor distT="0" distB="0" distL="114300" distR="114300" simplePos="0" relativeHeight="251658240" behindDoc="0" locked="0" layoutInCell="1" allowOverlap="1">
          <wp:simplePos x="0" y="0"/>
          <wp:positionH relativeFrom="margin">
            <wp:align>right</wp:align>
          </wp:positionH>
          <wp:positionV relativeFrom="paragraph">
            <wp:posOffset>-249555</wp:posOffset>
          </wp:positionV>
          <wp:extent cx="1481455" cy="694690"/>
          <wp:effectExtent l="0" t="0" r="444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1455" cy="69469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82192E"/>
    <w:multiLevelType w:val="multilevel"/>
    <w:tmpl w:val="52781BE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EC6"/>
    <w:rsid w:val="000F5EC6"/>
    <w:rsid w:val="00560C4C"/>
    <w:rsid w:val="005C10A2"/>
    <w:rsid w:val="005C57DE"/>
    <w:rsid w:val="00B44774"/>
    <w:rsid w:val="00B60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D694E"/>
  <w15:docId w15:val="{0E382323-0734-4A9B-8974-D77FA2A83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07C"/>
    <w:rPr>
      <w:rFonts w:cs="Times New Roman"/>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Prrafodelista">
    <w:name w:val="List Paragraph"/>
    <w:basedOn w:val="Normal"/>
    <w:uiPriority w:val="34"/>
    <w:qFormat/>
    <w:rsid w:val="0017607C"/>
    <w:pPr>
      <w:ind w:left="720"/>
      <w:contextualSpacing/>
    </w:pPr>
  </w:style>
  <w:style w:type="character" w:styleId="Hipervnculo">
    <w:name w:val="Hyperlink"/>
    <w:uiPriority w:val="99"/>
    <w:unhideWhenUsed/>
    <w:rsid w:val="0017607C"/>
    <w:rPr>
      <w:color w:val="0000FF"/>
      <w:u w:val="single"/>
    </w:rPr>
  </w:style>
  <w:style w:type="paragraph" w:styleId="Sinespaciado">
    <w:name w:val="No Spacing"/>
    <w:link w:val="SinespaciadoCar"/>
    <w:uiPriority w:val="1"/>
    <w:qFormat/>
    <w:rsid w:val="000E6C71"/>
    <w:pPr>
      <w:widowControl w:val="0"/>
      <w:wordWrap w:val="0"/>
      <w:autoSpaceDE w:val="0"/>
      <w:autoSpaceDN w:val="0"/>
      <w:spacing w:after="0" w:line="240" w:lineRule="auto"/>
      <w:jc w:val="both"/>
    </w:pPr>
    <w:rPr>
      <w:rFonts w:eastAsiaTheme="minorEastAsia"/>
      <w:kern w:val="2"/>
      <w:sz w:val="20"/>
      <w:lang w:val="en-US" w:eastAsia="ko-KR"/>
    </w:rPr>
  </w:style>
  <w:style w:type="character" w:customStyle="1" w:styleId="SinespaciadoCar">
    <w:name w:val="Sin espaciado Car"/>
    <w:basedOn w:val="Fuentedeprrafopredeter"/>
    <w:link w:val="Sinespaciado"/>
    <w:uiPriority w:val="1"/>
    <w:rsid w:val="000E6C71"/>
    <w:rPr>
      <w:rFonts w:eastAsiaTheme="minorEastAsia"/>
      <w:kern w:val="2"/>
      <w:sz w:val="20"/>
      <w:lang w:val="en-US" w:eastAsia="ko-KR"/>
    </w:rPr>
  </w:style>
  <w:style w:type="character" w:styleId="Textodelmarcadordeposicin">
    <w:name w:val="Placeholder Text"/>
    <w:basedOn w:val="Fuentedeprrafopredeter"/>
    <w:uiPriority w:val="99"/>
    <w:semiHidden/>
    <w:rsid w:val="00E510E1"/>
    <w:rPr>
      <w:color w:val="808080"/>
    </w:rPr>
  </w:style>
  <w:style w:type="character" w:customStyle="1" w:styleId="UnresolvedMention">
    <w:name w:val="Unresolved Mention"/>
    <w:basedOn w:val="Fuentedeprrafopredeter"/>
    <w:uiPriority w:val="99"/>
    <w:semiHidden/>
    <w:unhideWhenUsed/>
    <w:rsid w:val="00F26145"/>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B606A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606AB"/>
    <w:rPr>
      <w:rFonts w:cs="Times New Roman"/>
    </w:rPr>
  </w:style>
  <w:style w:type="paragraph" w:styleId="Piedepgina">
    <w:name w:val="footer"/>
    <w:basedOn w:val="Normal"/>
    <w:link w:val="PiedepginaCar"/>
    <w:uiPriority w:val="99"/>
    <w:unhideWhenUsed/>
    <w:rsid w:val="00B606A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606A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alnet.unirioja.es/descarga/articulo/579756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9M3HSAY3gpgDAWSLkjkBkS88OQ==">CgMxLjA4AHIhMTBtV18tUTZUS0hWa0VrWXhpa0M4UWlGeE1zUHdSOF85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295</Words>
  <Characters>1688</Characters>
  <Application>Microsoft Office Word</Application>
  <DocSecurity>0</DocSecurity>
  <Lines>14</Lines>
  <Paragraphs>3</Paragraphs>
  <ScaleCrop>false</ScaleCrop>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Jefe de Area</dc:creator>
  <cp:lastModifiedBy>Estudiante</cp:lastModifiedBy>
  <cp:revision>7</cp:revision>
  <dcterms:created xsi:type="dcterms:W3CDTF">2024-09-24T13:50:00Z</dcterms:created>
  <dcterms:modified xsi:type="dcterms:W3CDTF">2024-10-02T15:57:00Z</dcterms:modified>
</cp:coreProperties>
</file>